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阿特斯太阳能[CSIQ.O]2026年第二季度业绩交流会 260827_导读</w:t>
      </w:r>
    </w:p>
    <w:p>
      <w:pPr>
        <w:pStyle w:val="a0"/>
        <w:jc w:val="center"/>
      </w:pPr>
      <w:r>
        <w:t>2026年08月27日 22:07</w:t>
      </w:r>
    </w:p>
    <w:p>
      <w:pPr>
        <w:pStyle w:val="a7"/>
      </w:pPr>
      <w:r>
        <w:t>关键词</w:t>
      </w:r>
    </w:p>
    <w:p>
      <w:r>
        <w:rPr>
          <w:rFonts w:ascii="等线(中文正文)" w:hAnsi="等线(中文正文)" w:cs="等线(中文正文)" w:eastAsia="等线(中文正文)"/>
          <w:b w:val="false"/>
          <w:i w:val="false"/>
          <w:sz w:val="20"/>
        </w:rPr>
        <w:t xml:space="preserve">manufacturing quarter IP energy storage canadian solar HJT RND HAT CEO solar modules S. U. pricing technology company Operating loss Operating expenses north amErica recognizing revenue energy management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加拿大太阳能公司在2026年第二季度实现了超过3.1吉瓦的太阳能模块发货量，超越了储能系统发货量，总营收达到12亿美元，尽管如此，高昂的关税成本和其他不确定性导致了公司净亏损7700万美元。特别地，公司在美国市场表现强劲，强调了在美国的先进技术，包括首座商业化运营的HJT太阳能电池厂，并预期美国市场将因政策调整加速，带来价格和需求的提升。面对美国制造要求和关税豁免，公司正在积极与美国商务部合作，同时投资于美国的制造设施，以满足市场需求并应对政策不确定性，同时考虑将增加的运输成本转嫁给客户。</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加拿大太阳能公司第二季度财报会议摘要</w:t>
      </w:r>
    </w:p>
    <w:p>
      <w:r>
        <w:rPr>
          <w:rFonts w:ascii="等线(中文正文)" w:hAnsi="等线(中文正文)" w:cs="等线(中文正文)" w:eastAsia="等线(中文正文)"/>
          <w:b w:val="false"/>
          <w:i w:val="false"/>
          <w:sz w:val="20"/>
        </w:rPr>
        <w:t>会议宣布了加拿大太阳能公司第二季度的财务业绩，包括对可再生能源业务的更新及未来展望。管理层提醒，讨论中包含前瞻性声明，实际结果可能与当前预期存在差异。非GAAP财务信息提供以辅助行业分析，但不应替代GAAP数据。</w:t>
      </w:r>
    </w:p>
    <w:p>
      <w:r>
        <w:rPr>
          <w:rFonts w:ascii="等线(中文正文)" w:hAnsi="等线(中文正文)" w:cs="等线(中文正文)" w:eastAsia="等线(中文正文)"/>
          <w:b w:val="false"/>
          <w:i w:val="false"/>
          <w:sz w:val="20"/>
        </w:rPr>
        <w:t/>
      </w:r>
    </w:p>
    <w:p>
      <w:pPr>
        <w:pStyle w:val="ab"/>
        <w:numPr>
          <w:numId w:val="2"/>
        </w:numPr>
      </w:pPr>
      <w:r>
        <w:t>02:57 第二季度财报：太阳能与储能业务表现及挑战</w:t>
      </w:r>
    </w:p>
    <w:p>
      <w:r>
        <w:rPr>
          <w:rFonts w:ascii="等线(中文正文)" w:hAnsi="等线(中文正文)" w:cs="等线(中文正文)" w:eastAsia="等线(中文正文)"/>
          <w:b w:val="false"/>
          <w:i w:val="false"/>
          <w:sz w:val="20"/>
        </w:rPr>
        <w:t>财报显示，公司第二季度太阳能模块和储能项目超出预期，尤其在北美地区高利润市场表现突出。然而，由于地缘政治影响、运输成本上升及新设施扩建带来的短期成本增加，导致净利润下滑，整体盈利受影响。尽管如此，公司正快速扩大储能业务并全球执行项目，预计模块利润率将随成本正常化而提升。</w:t>
      </w:r>
    </w:p>
    <w:p>
      <w:r>
        <w:rPr>
          <w:rFonts w:ascii="等线(中文正文)" w:hAnsi="等线(中文正文)" w:cs="等线(中文正文)" w:eastAsia="等线(中文正文)"/>
          <w:b w:val="false"/>
          <w:i w:val="false"/>
          <w:sz w:val="20"/>
        </w:rPr>
        <w:t/>
      </w:r>
    </w:p>
    <w:p>
      <w:pPr>
        <w:pStyle w:val="ab"/>
        <w:numPr>
          <w:numId w:val="3"/>
        </w:numPr>
      </w:pPr>
      <w:r>
        <w:t>05:08 加拿大太阳能HJT太阳能电池工厂正式运营及政策利好</w:t>
      </w:r>
    </w:p>
    <w:p>
      <w:r>
        <w:rPr>
          <w:rFonts w:ascii="等线(中文正文)" w:hAnsi="等线(中文正文)" w:cs="等线(中文正文)" w:eastAsia="等线(中文正文)"/>
          <w:b w:val="false"/>
          <w:i w:val="false"/>
          <w:sz w:val="20"/>
        </w:rPr>
        <w:t>加拿大太阳能公司宣布其先进的HJT太阳能电池工厂正式运营，成为美国首个商业化运营的HJT制造商，工厂对当地经济有重要贡献。公司计划逐步提升产能，到2027年，将使北美的最大晶体硅太阳能制造厂达到6.3GW的总产能。此外，公司已获得13GW的合同订单，价值超过45亿美元，显示了市场对其高性能美国制造太阳能产品的强劲需求。政策方面，特朗普政府宣布的新政策支持国内制造业投资，包括进口定价和关税措施，以及对国内制造能力投资的生产抵扣，加拿大太阳能将积极参与政策实施，认为这将有助于稳定美国太阳能市场。</w:t>
      </w:r>
    </w:p>
    <w:p>
      <w:r>
        <w:rPr>
          <w:rFonts w:ascii="等线(中文正文)" w:hAnsi="等线(中文正文)" w:cs="等线(中文正文)" w:eastAsia="等线(中文正文)"/>
          <w:b w:val="false"/>
          <w:i w:val="false"/>
          <w:sz w:val="20"/>
        </w:rPr>
        <w:t/>
      </w:r>
    </w:p>
    <w:p>
      <w:pPr>
        <w:pStyle w:val="ab"/>
        <w:numPr>
          <w:numId w:val="4"/>
        </w:numPr>
      </w:pPr>
      <w:r>
        <w:t>08:28 能源存储解决方案与数据中心需求增长</w:t>
      </w:r>
    </w:p>
    <w:p>
      <w:r>
        <w:rPr>
          <w:rFonts w:ascii="等线(中文正文)" w:hAnsi="等线(中文正文)" w:cs="等线(中文正文)" w:eastAsia="等线(中文正文)"/>
          <w:b w:val="false"/>
          <w:i w:val="false"/>
          <w:sz w:val="20"/>
        </w:rPr>
        <w:t>对话围绕能源存储解决方案展开，提及本季度已交付3.7吉瓦时的存储容量，其中3.3吉瓦时实现营收。公司正积极应对数据中 心从对话转向合同机会的市场需求，特别是在确保电力供应和电网稳定性方面。通过与大型美国公用事业公司签订500兆瓦、2.5吉瓦时的直流项目合同，展示了解决方案的应用实例。公司不仅提供电池容器，还涵盖电池设计、系统集成及全周期服务，形成一站式解决方案，助力客户克服挑战，同时收集运营数据优化未来产品。</w:t>
      </w:r>
    </w:p>
    <w:p>
      <w:r>
        <w:rPr>
          <w:rFonts w:ascii="等线(中文正文)" w:hAnsi="等线(中文正文)" w:cs="等线(中文正文)" w:eastAsia="等线(中文正文)"/>
          <w:b w:val="false"/>
          <w:i w:val="false"/>
          <w:sz w:val="20"/>
        </w:rPr>
        <w:t/>
      </w:r>
    </w:p>
    <w:p>
      <w:pPr>
        <w:pStyle w:val="ab"/>
        <w:numPr>
          <w:numId w:val="5"/>
        </w:numPr>
      </w:pPr>
      <w:r>
        <w:t>10:59 第二季度财务回顾与运营里程碑</w:t>
      </w:r>
    </w:p>
    <w:p>
      <w:r>
        <w:rPr>
          <w:rFonts w:ascii="等线(中文正文)" w:hAnsi="等线(中文正文)" w:cs="等线(中文正文)" w:eastAsia="等线(中文正文)"/>
          <w:b w:val="false"/>
          <w:i w:val="false"/>
          <w:sz w:val="20"/>
        </w:rPr>
        <w:t>第二季度收入1.7亿美元，因项目延期和减值影响出现运营亏损。尽管如此，成功运营西班牙426MW太阳能项目，与科技巨头深化合作，如澳大利亚150MW项目与微软的长期购电协议，同时完成加州330MW太阳能设施的6.95亿美元融资。</w:t>
      </w:r>
    </w:p>
    <w:p>
      <w:r>
        <w:rPr>
          <w:rFonts w:ascii="等线(中文正文)" w:hAnsi="等线(中文正文)" w:cs="等线(中文正文)" w:eastAsia="等线(中文正文)"/>
          <w:b w:val="false"/>
          <w:i w:val="false"/>
          <w:sz w:val="20"/>
        </w:rPr>
        <w:t/>
      </w:r>
    </w:p>
    <w:p>
      <w:pPr>
        <w:pStyle w:val="ab"/>
        <w:numPr>
          <w:numId w:val="6"/>
        </w:numPr>
      </w:pPr>
      <w:r>
        <w:t>12:40 全球能源存储与太阳能发展动态</w:t>
      </w:r>
    </w:p>
    <w:p>
      <w:r>
        <w:rPr>
          <w:rFonts w:ascii="等线(中文正文)" w:hAnsi="等线(中文正文)" w:cs="等线(中文正文)" w:eastAsia="等线(中文正文)"/>
          <w:b w:val="false"/>
          <w:i w:val="false"/>
          <w:sz w:val="20"/>
        </w:rPr>
        <w:t>对话围绕全球能源存储与太阳能领域的最新进展展开，提及了截至6月30日的项目连接情况，包括6kW太阳能和13GWh的能源存储。策略聚焦于高质量、高利润机会，同时缩减低利润资产，如EMA项目。团队正积极准备参与巴西的能源存储拍卖，以扩展美洲市场。财务方面，第二季度实现了12亿美元的总收入，主要得益于美国市场的强劲表现，但受汇率波动影响，净利润出现亏损。现金流和资产负债表显示，尽管运营活动消耗了大量现金，但公司仍保持了19亿加元的现金余额，支持战略投资。未来计划包括扩大美国制造能力，预计2026年资本支出将达到13亿美元。</w:t>
      </w:r>
    </w:p>
    <w:p>
      <w:r>
        <w:rPr>
          <w:rFonts w:ascii="等线(中文正文)" w:hAnsi="等线(中文正文)" w:cs="等线(中文正文)" w:eastAsia="等线(中文正文)"/>
          <w:b w:val="false"/>
          <w:i w:val="false"/>
          <w:sz w:val="20"/>
        </w:rPr>
        <w:t/>
      </w:r>
    </w:p>
    <w:p>
      <w:pPr>
        <w:pStyle w:val="ab"/>
        <w:numPr>
          <w:numId w:val="7"/>
        </w:numPr>
      </w:pPr>
      <w:r>
        <w:t>19:38 推动清洁能源转型与技术创新</w:t>
      </w:r>
    </w:p>
    <w:p>
      <w:r>
        <w:rPr>
          <w:rFonts w:ascii="等线(中文正文)" w:hAnsi="等线(中文正文)" w:cs="等线(中文正文)" w:eastAsia="等线(中文正文)"/>
          <w:b w:val="false"/>
          <w:i w:val="false"/>
          <w:sz w:val="20"/>
        </w:rPr>
        <w:t>报告展示了公司在2020年全球清洁能转型中的承诺，通过可持续和负责任的商业实践，实现了资源效率提升、碳排放减少及供应链透明化等目标。此外，介绍了公司在太阳能光伏和储能解决方案领域的多代技术路线图，包括HJT技术、高效电池架构及未来空间应用的探索，强调了技术创新在实现长期客户价值中的核心作用。</w:t>
      </w:r>
    </w:p>
    <w:p>
      <w:r>
        <w:rPr>
          <w:rFonts w:ascii="等线(中文正文)" w:hAnsi="等线(中文正文)" w:cs="等线(中文正文)" w:eastAsia="等线(中文正文)"/>
          <w:b w:val="false"/>
          <w:i w:val="false"/>
          <w:sz w:val="20"/>
        </w:rPr>
        <w:t/>
      </w:r>
    </w:p>
    <w:p>
      <w:pPr>
        <w:pStyle w:val="ab"/>
        <w:numPr>
          <w:numId w:val="8"/>
        </w:numPr>
      </w:pPr>
      <w:r>
        <w:t>29:10 光伏企业Q3业绩预测与技术发展讨论</w:t>
      </w:r>
    </w:p>
    <w:p>
      <w:r>
        <w:rPr>
          <w:rFonts w:ascii="等线(中文正文)" w:hAnsi="等线(中文正文)" w:cs="等线(中文正文)" w:eastAsia="等线(中文正文)"/>
          <w:b w:val="false"/>
          <w:i w:val="false"/>
          <w:sz w:val="20"/>
        </w:rPr>
        <w:t>对话围绕光伏企业第三季度业绩预测、技术发展路径、研发投入及知识产权布局展开。企业预计Q3营收在13亿至15亿美元之间，毛利率在13.5%至15.5%之间，同时强调了美国市场模块和储能设备出货量的增长预期。技术方面，企业计划增加研发投资，提升本土化制造和知识产权保护，尤其是在美国和加拿大。此外，企业还讨论了供应链成本控制策略，以及新政策对价格和市场需求的影响。</w:t>
      </w:r>
    </w:p>
    <w:p>
      <w:r>
        <w:rPr>
          <w:rFonts w:ascii="等线(中文正文)" w:hAnsi="等线(中文正文)" w:cs="等线(中文正文)" w:eastAsia="等线(中文正文)"/>
          <w:b w:val="false"/>
          <w:i w:val="false"/>
          <w:sz w:val="20"/>
        </w:rPr>
        <w:t/>
      </w:r>
    </w:p>
    <w:p>
      <w:pPr>
        <w:pStyle w:val="ab"/>
        <w:numPr>
          <w:numId w:val="9"/>
        </w:numPr>
      </w:pPr>
      <w:r>
        <w:t>37:35 关税豁免与美国制造计划</w:t>
      </w:r>
    </w:p>
    <w:p>
      <w:r>
        <w:rPr>
          <w:rFonts w:ascii="等线(中文正文)" w:hAnsi="等线(中文正文)" w:cs="等线(中文正文)" w:eastAsia="等线(中文正文)"/>
          <w:b w:val="false"/>
          <w:i w:val="false"/>
          <w:sz w:val="20"/>
        </w:rPr>
        <w:t>对话围绕关税豁免政策及美国制造业投资展开，讨论了关税豁免的适用范围、申请流程以及对太阳能模块和电池工厂投资的影响。参与者表达了对关税豁免资格的乐观态度，并讨论了价格变动趋势和不获豁免的应对策略。</w:t>
      </w:r>
    </w:p>
    <w:p>
      <w:r>
        <w:rPr>
          <w:rFonts w:ascii="等线(中文正文)" w:hAnsi="等线(中文正文)" w:cs="等线(中文正文)" w:eastAsia="等线(中文正文)"/>
          <w:b w:val="false"/>
          <w:i w:val="false"/>
          <w:sz w:val="20"/>
        </w:rPr>
        <w:t/>
      </w:r>
    </w:p>
    <w:p>
      <w:pPr>
        <w:pStyle w:val="ab"/>
        <w:numPr>
          <w:numId w:val="10"/>
        </w:numPr>
      </w:pPr>
      <w:r>
        <w:t>42:59 美国白宫政策对加拿大电池供应链的影响</w:t>
      </w:r>
    </w:p>
    <w:p>
      <w:r>
        <w:rPr>
          <w:rFonts w:ascii="等线(中文正文)" w:hAnsi="等线(中文正文)" w:cs="等线(中文正文)" w:eastAsia="等线(中文正文)"/>
          <w:b w:val="false"/>
          <w:i w:val="false"/>
          <w:sz w:val="20"/>
        </w:rPr>
        <w:t>讨论了美国白宫新政策对加拿大电池供应链的影响，特别是关于美国制造要求和能源政策的合规性。管理层表示，虽然当前供应链未受影响，但公司正积极与供应链合作，确保符合FCC要求，并探索在美国制造的可能性。此外，还探讨了空间光伏技术的发展，以及HJT技术在美国的选择原因，包括研发历史和成本考虑。</w:t>
      </w:r>
    </w:p>
    <w:p>
      <w:r>
        <w:rPr>
          <w:rFonts w:ascii="等线(中文正文)" w:hAnsi="等线(中文正文)" w:cs="等线(中文正文)" w:eastAsia="等线(中文正文)"/>
          <w:b w:val="false"/>
          <w:i w:val="false"/>
          <w:sz w:val="20"/>
        </w:rPr>
        <w:t/>
      </w:r>
    </w:p>
    <w:p>
      <w:pPr>
        <w:pStyle w:val="a7"/>
      </w:pPr>
      <w:r>
        <w:t>发言总结</w:t>
      </w:r>
    </w:p>
    <w:p>
      <w:pPr>
        <w:pStyle w:val="ab"/>
        <w:numPr>
          <w:numId w:val="11"/>
        </w:numPr>
      </w:pPr>
      <w:r>
        <w:t>发言人1</w:t>
      </w:r>
    </w:p>
    <w:p>
      <w:r>
        <w:rPr>
          <w:rFonts w:ascii="等线(中文正文)" w:hAnsi="等线(中文正文)" w:cs="等线(中文正文)" w:eastAsia="等线(中文正文)"/>
          <w:b w:val="false"/>
          <w:i w:val="false"/>
          <w:sz w:val="20"/>
        </w:rPr>
        <w:t>首先强调了知识产权在美国和全球的重要性，特别提到了美国与加拿大的制造业和研发能力，以及这两个国家在电力电子和半导体领域内的显著增长。他还讨论了物流成本如何通过合同转嫁给客户，以及针对太阳能模块的关税减免政策对制造成本的影响。他还介绍了公司在应对政策变化的策略，包括与美国商务部的合作，以及对技术进步和产品开发的持续关注，特别是太阳能电池和模块在空间应用的潜力。
在电话会议中，他主持并介绍了加拿大太阳能公司第二季度2026年的财务业绩，强调了公司超过预期的太阳能模块和储能解决方案发货量、收入和毛利。他提到了地缘政治不确定性带来的挑战以及公司为提高毛利率所做的努力，并强调了公司致力于可持续发展和环境保护的承诺。
他概述了第三季度和全年对公司业务的展望，表达了对公司未来增长的乐观预期，特别是太阳能和储能解决方案的发货量预计将显著增加。他还提到了公司在研发上的投资，以推动技术进步，并满足全球对可持续能源的需求。最后，他提醒参与者会议初期保持静听模式，并告知将在会议后进行问答环节，强调此次会议记录主要用于回放。</w:t>
      </w:r>
    </w:p>
    <w:p>
      <w:r>
        <w:rPr>
          <w:rFonts w:ascii="等线(中文正文)" w:hAnsi="等线(中文正文)" w:cs="等线(中文正文)" w:eastAsia="等线(中文正文)"/>
          <w:b w:val="false"/>
          <w:i w:val="false"/>
          <w:sz w:val="20"/>
        </w:rPr>
        <w:t/>
      </w:r>
    </w:p>
    <w:p>
      <w:pPr>
        <w:pStyle w:val="a7"/>
      </w:pPr>
      <w:r>
        <w:t>要点回顾</w:t>
      </w:r>
    </w:p>
    <w:p>
      <w:pPr>
        <w:pStyle w:val="ab"/>
      </w:pPr>
      <w:r>
        <w:t>What are the key performance indicators and financial results for Canadian Solar's second quarter 2026?</w:t>
      </w:r>
    </w:p>
    <w:p>
      <w:r>
        <w:rPr>
          <w:rFonts w:ascii="等线(中文正文)" w:hAnsi="等线(中文正文)" w:cs="等线(中文正文)" w:eastAsia="等线(中文正文)"/>
          <w:b w:val="false"/>
          <w:i w:val="false"/>
          <w:sz w:val="20"/>
        </w:rPr>
        <w:t>发言人1：In the second quarter of 2026, Canadian Solar recognized revenue of $1.2 billion, exceeding the guidance range. The company shipped 3.7 gigawatt hours of solar modules and 3.3 GW hours were recognized as revenue. Despite achieving the high end of guidance, gross margin was slightly above the guide at 13.9%, profitability was impacted by elevated fabrication costs due to ongoing geopolitical uncertainties and near-term ramp-up costs for the solar module facility in Jefferson, Georgia. Consequently, the company reported a net loss attributable to shareholders of $77 million, or $1.40 per share.</w:t>
      </w:r>
    </w:p>
    <w:p>
      <w:r>
        <w:rPr>
          <w:rFonts w:ascii="等线(中文正文)" w:hAnsi="等线(中文正文)" w:cs="等线(中文正文)" w:eastAsia="等线(中文正文)"/>
          <w:b w:val="false"/>
          <w:i w:val="false"/>
          <w:sz w:val="20"/>
        </w:rPr>
        <w:t/>
      </w:r>
    </w:p>
    <w:p>
      <w:pPr>
        <w:pStyle w:val="ab"/>
      </w:pPr>
      <w:r>
        <w:t>How did Canadian Solar's manufacturing segment contribute to its financial performance?</w:t>
      </w:r>
    </w:p>
    <w:p>
      <w:r>
        <w:rPr>
          <w:rFonts w:ascii="等线(中文正文)" w:hAnsi="等线(中文正文)" w:cs="等线(中文正文)" w:eastAsia="等线(中文正文)"/>
          <w:b w:val="false"/>
          <w:i w:val="false"/>
          <w:sz w:val="20"/>
        </w:rPr>
        <w:t>发言人1：The manufacturing segment was the key driver of Canadian Solar's financial performance. The company prioritized high-margin regions, with nearly half of the quarterly module volumes being shipped to their North American base. The energy storage business also performed well, with significant global scaling and execution, delivering to utility-scale projects across North America, the Pacific, and Latin America.</w:t>
      </w:r>
    </w:p>
    <w:p>
      <w:r>
        <w:rPr>
          <w:rFonts w:ascii="等线(中文正文)" w:hAnsi="等线(中文正文)" w:cs="等线(中文正文)" w:eastAsia="等线(中文正文)"/>
          <w:b w:val="false"/>
          <w:i w:val="false"/>
          <w:sz w:val="20"/>
        </w:rPr>
        <w:t/>
      </w:r>
    </w:p>
    <w:p>
      <w:pPr>
        <w:pStyle w:val="ab"/>
      </w:pPr>
      <w:r>
        <w:t>What are the details regarding the new HJT solar cell facility and its capacity expansion?</w:t>
      </w:r>
    </w:p>
    <w:p>
      <w:r>
        <w:rPr>
          <w:rFonts w:ascii="等线(中文正文)" w:hAnsi="等线(中文正文)" w:cs="等线(中文正文)" w:eastAsia="等线(中文正文)"/>
          <w:b w:val="false"/>
          <w:i w:val="false"/>
          <w:sz w:val="20"/>
        </w:rPr>
        <w:t>发言人1：The new HJT solar cell facility represents a historic milestone for Canadian Solar, marking the company as the first commercially operational HJT manufacturer in the United States. The facility's phase one capacity is being ramped up to 2.1 GWp and is set to enter full-scale production on October 1st. Before the end of the year, equipment for phase two will be installed, boosting the Jeffersonville site's total nameplate cell capacity to 6.3 GWp by 2027. This will make the facility one of the largest silicon solar manufacturing plants in North America.</w:t>
      </w:r>
    </w:p>
    <w:p>
      <w:r>
        <w:rPr>
          <w:rFonts w:ascii="等线(中文正文)" w:hAnsi="等线(中文正文)" w:cs="等线(中文正文)" w:eastAsia="等线(中文正文)"/>
          <w:b w:val="false"/>
          <w:i w:val="false"/>
          <w:sz w:val="20"/>
        </w:rPr>
        <w:t/>
      </w:r>
    </w:p>
    <w:p>
      <w:pPr>
        <w:pStyle w:val="ab"/>
      </w:pPr>
      <w:r>
        <w:t>What is the significance of the new policy structure announced by President Trump and how will it affect Canadian Solar?</w:t>
      </w:r>
    </w:p>
    <w:p>
      <w:r>
        <w:rPr>
          <w:rFonts w:ascii="等线(中文正文)" w:hAnsi="等线(中文正文)" w:cs="等线(中文正文)" w:eastAsia="等线(中文正文)"/>
          <w:b w:val="false"/>
          <w:i w:val="false"/>
          <w:sz w:val="20"/>
        </w:rPr>
        <w:t>发言人1：President Trump's new policy structure, focused on imported polysilicon and its derivative products, is viewed as supportive of Canadian Solar's long-term investment in domestic manufacturing. The measures include minimum import pricing, tariff provisions, and potential manufacturing offsets for companies investing in domestic capacity. Canadian Solar plans to continue engaging with the Department of Commerce during the one-month-day implementation period and assess the potential impact of these measures on the company's operations.</w:t>
      </w:r>
    </w:p>
    <w:p>
      <w:r>
        <w:rPr>
          <w:rFonts w:ascii="等线(中文正文)" w:hAnsi="等线(中文正文)" w:cs="等线(中文正文)" w:eastAsia="等线(中文正文)"/>
          <w:b w:val="false"/>
          <w:i w:val="false"/>
          <w:sz w:val="20"/>
        </w:rPr>
        <w:t/>
      </w:r>
    </w:p>
    <w:p>
      <w:pPr>
        <w:pStyle w:val="ab"/>
      </w:pPr>
      <w:r>
        <w:t>How did the energy storage solutions segment perform and what are the prospects?</w:t>
      </w:r>
    </w:p>
    <w:p>
      <w:r>
        <w:rPr>
          <w:rFonts w:ascii="等线(中文正文)" w:hAnsi="等线(中文正文)" w:cs="等线(中文正文)" w:eastAsia="等线(中文正文)"/>
          <w:b w:val="false"/>
          <w:i w:val="false"/>
          <w:sz w:val="20"/>
        </w:rPr>
        <w:t>发言人1：Canadian Solar shipped 3.7 GW hours of energy storage solutions in the quarter and recognized revenue on 3.3 GW hours. The company had over 400 megawatt hours of internal projects under execution at the end of the quarter, with a contracted backlog of $3.5 billion. This includes long-term service agreements covering 34 GW hours of projects. There is a transition from conversations to contract opportunities with data centers, and ESS has secured a contract for a 500-megawatt/2.5-gigawatt-hour DC project to support a major U.S. utility's data and grid infrastructure. Energy storage integrates with various energy technologies and helps overcome challenges such as securing power and maintaining grid stability for data centers.</w:t>
      </w:r>
    </w:p>
    <w:p>
      <w:r>
        <w:rPr>
          <w:rFonts w:ascii="等线(中文正文)" w:hAnsi="等线(中文正文)" w:cs="等线(中文正文)" w:eastAsia="等线(中文正文)"/>
          <w:b w:val="false"/>
          <w:i w:val="false"/>
          <w:sz w:val="20"/>
        </w:rPr>
        <w:t/>
      </w:r>
    </w:p>
    <w:p>
      <w:pPr>
        <w:pStyle w:val="ab"/>
      </w:pPr>
      <w:r>
        <w:t>What does the 'full stack model' mentioned by the speaker refer to?</w:t>
      </w:r>
    </w:p>
    <w:p>
      <w:r>
        <w:rPr>
          <w:rFonts w:ascii="等线(中文正文)" w:hAnsi="等线(中文正文)" w:cs="等线(中文正文)" w:eastAsia="等线(中文正文)"/>
          <w:b w:val="false"/>
          <w:i w:val="false"/>
          <w:sz w:val="20"/>
        </w:rPr>
        <w:t>发言人1：The 'full stack model' refers to a comprehensive service offering by the company which includes producing battery cells, designing the sole bank platform, integrating power conversion and energy management controls, providing engineering, procurement, and commissioning services, and offering long-term service agreements and real-world operating data for refining future solutions.</w:t>
      </w:r>
    </w:p>
    <w:p>
      <w:r>
        <w:rPr>
          <w:rFonts w:ascii="等线(中文正文)" w:hAnsi="等线(中文正文)" w:cs="等线(中文正文)" w:eastAsia="等线(中文正文)"/>
          <w:b w:val="false"/>
          <w:i w:val="false"/>
          <w:sz w:val="20"/>
        </w:rPr>
        <w:t/>
      </w:r>
    </w:p>
    <w:p>
      <w:pPr>
        <w:pStyle w:val="ab"/>
      </w:pPr>
      <w:r>
        <w:t>What were the financial results and operational milestones for the second quarter?</w:t>
      </w:r>
    </w:p>
    <w:p>
      <w:r>
        <w:rPr>
          <w:rFonts w:ascii="等线(中文正文)" w:hAnsi="等线(中文正文)" w:cs="等线(中文正文)" w:eastAsia="等线(中文正文)"/>
          <w:b w:val="false"/>
          <w:i w:val="false"/>
          <w:sz w:val="20"/>
        </w:rPr>
        <w:t>发言人1：Revenue for the second quarter was $170 million, down from the first quarter primarily due to the postponement of several project sales. Electricity sales revenue increased due to the commercial operation of a large solar asset in Spain. Operating expenses rose, resulting in an operating loss of $19 million. Key operational milestones include the commercial operation of a 426-megawatt solar asset in Spain and partnerships with leading technology companies in Australia. The company also constructed a 150-megawatt solar project backed by a long-term power purchase agreement with Microsoft and secured competitive large-scale project financing.</w:t>
      </w:r>
    </w:p>
    <w:p>
      <w:r>
        <w:rPr>
          <w:rFonts w:ascii="等线(中文正文)" w:hAnsi="等线(中文正文)" w:cs="等线(中文正文)" w:eastAsia="等线(中文正文)"/>
          <w:b w:val="false"/>
          <w:i w:val="false"/>
          <w:sz w:val="20"/>
        </w:rPr>
        <w:t/>
      </w:r>
    </w:p>
    <w:p>
      <w:pPr>
        <w:pStyle w:val="ab"/>
      </w:pPr>
      <w:r>
        <w:t>How much has Canadian Solar secured in terms of grid connections and energy storage as of June 30, 2022?</w:t>
      </w:r>
    </w:p>
    <w:p>
      <w:r>
        <w:rPr>
          <w:rFonts w:ascii="等线(中文正文)" w:hAnsi="等线(中文正文)" w:cs="等线(中文正文)" w:eastAsia="等线(中文正文)"/>
          <w:b w:val="false"/>
          <w:i w:val="false"/>
          <w:sz w:val="20"/>
        </w:rPr>
        <w:t>发言人1：As of June 30, 2022, Canadian Solar has secured grid connections for approximately 6,900 megawatts of solar and 13 gigahours of energy storage capacity globally, with a total development pipeline of nearly 22,000 megawatts of solar and 84.8 hours of energy storage.</w:t>
      </w:r>
    </w:p>
    <w:p>
      <w:r>
        <w:rPr>
          <w:rFonts w:ascii="等线(中文正文)" w:hAnsi="等线(中文正文)" w:cs="等线(中文正文)" w:eastAsia="等线(中文正文)"/>
          <w:b w:val="false"/>
          <w:i w:val="false"/>
          <w:sz w:val="20"/>
        </w:rPr>
        <w:t/>
      </w:r>
    </w:p>
    <w:p>
      <w:pPr>
        <w:pStyle w:val="ab"/>
      </w:pPr>
      <w:r>
        <w:t>What is Canadian Solar's strategy for its pipeline?</w:t>
      </w:r>
    </w:p>
    <w:p>
      <w:r>
        <w:rPr>
          <w:rFonts w:ascii="等线(中文正文)" w:hAnsi="等线(中文正文)" w:cs="等线(中文正文)" w:eastAsia="等线(中文正文)"/>
          <w:b w:val="false"/>
          <w:i w:val="false"/>
          <w:sz w:val="20"/>
        </w:rPr>
        <w:t>发言人1：Canadian Solar's strategy for its pipeline focuses on high-quality, high-margin opportunities to drive real value. They are actively pruning lower-margin assets and scaling back on their EMA pipeline following detailed evaluations of technical and commercial viability. The company is also pursuing attractive opportunities, such as preparing to compete in Brazil's upcoming energy storage auction, expanding its pipeline in Latin America for the second half of the year, and prioritizing the selective monetization of operating assets under construction and development assets to support capital recycling and improve financial leverage.</w:t>
      </w:r>
    </w:p>
    <w:p>
      <w:r>
        <w:rPr>
          <w:rFonts w:ascii="等线(中文正文)" w:hAnsi="等线(中文正文)" w:cs="等线(中文正文)" w:eastAsia="等线(中文正文)"/>
          <w:b w:val="false"/>
          <w:i w:val="false"/>
          <w:sz w:val="20"/>
        </w:rPr>
        <w:t/>
      </w:r>
    </w:p>
    <w:p>
      <w:pPr>
        <w:pStyle w:val="ab"/>
      </w:pPr>
      <w:r>
        <w:t>What were the significant financial results in the second quarter?</w:t>
      </w:r>
    </w:p>
    <w:p>
      <w:r>
        <w:rPr>
          <w:rFonts w:ascii="等线(中文正文)" w:hAnsi="等线(中文正文)" w:cs="等线(中文正文)" w:eastAsia="等线(中文正文)"/>
          <w:b w:val="false"/>
          <w:i w:val="false"/>
          <w:sz w:val="20"/>
        </w:rPr>
        <w:t>发言人1：In the second quarter, Canadian Solar recognized revenue from 1.2 billion watts of modules and 323 million hours of energy storage solutions, with performance primarily fostered by strong U.S. volumes. Total revenue reached $1.2 billion, at the high end of guidance. Sequentially, operating expenses increased 21%, driven by elected revenue recognition and unrealized profit on sales agencies. Interest expense grew to $43 million from $33 million in the first quarter, primarily due to lower capitalized interest. Additionally, they recorded a net loss attributable to shareholders of $707 million or $1.40 per share.</w:t>
      </w:r>
    </w:p>
    <w:p>
      <w:r>
        <w:rPr>
          <w:rFonts w:ascii="等线(中文正文)" w:hAnsi="等线(中文正文)" w:cs="等线(中文正文)" w:eastAsia="等线(中文正文)"/>
          <w:b w:val="false"/>
          <w:i w:val="false"/>
          <w:sz w:val="20"/>
        </w:rPr>
        <w:t/>
      </w:r>
    </w:p>
    <w:p>
      <w:pPr>
        <w:pStyle w:val="ab"/>
      </w:pPr>
      <w:r>
        <w:t>What was the impact of currency fluctuations on Canadian Solar's financials?</w:t>
      </w:r>
    </w:p>
    <w:p>
      <w:r>
        <w:rPr>
          <w:rFonts w:ascii="等线(中文正文)" w:hAnsi="等线(中文正文)" w:cs="等线(中文正文)" w:eastAsia="等线(中文正文)"/>
          <w:b w:val="false"/>
          <w:i w:val="false"/>
          <w:sz w:val="20"/>
        </w:rPr>
        <w:t>发言人1：Currency fluctuations resulted in a foreign exchange loss of $9 million, driven by strong appreciation in the Chinese renminbi. However, they also had a mark-to-market gain of $41 million in investment income from their equity investment in a Barry equipment company, which helped buffer their bottom line.</w:t>
      </w:r>
    </w:p>
    <w:p>
      <w:r>
        <w:rPr>
          <w:rFonts w:ascii="等线(中文正文)" w:hAnsi="等线(中文正文)" w:cs="等线(中文正文)" w:eastAsia="等线(中文正文)"/>
          <w:b w:val="false"/>
          <w:i w:val="false"/>
          <w:sz w:val="20"/>
        </w:rPr>
        <w:t/>
      </w:r>
    </w:p>
    <w:p>
      <w:pPr>
        <w:pStyle w:val="ab"/>
      </w:pPr>
      <w:r>
        <w:t>How did capital expenditures and cash flow activities shape up for the second quarter?</w:t>
      </w:r>
    </w:p>
    <w:p>
      <w:r>
        <w:rPr>
          <w:rFonts w:ascii="等线(中文正文)" w:hAnsi="等线(中文正文)" w:cs="等线(中文正文)" w:eastAsia="等线(中文正文)"/>
          <w:b w:val="false"/>
          <w:i w:val="false"/>
          <w:sz w:val="20"/>
        </w:rPr>
        <w:t>发言人1：Net cash used in operating activities during the second quarter was $181 million, primarily driven by changes in working capital. Total assets grew to $16.1 billion, reflecting ongoing development of U.S. solar and storage products and expansion to support the company's growth strategy. Capital expenditures were $182 million, with investments directed towards the U.S. manufacturing segment to expand capacity and improve profitability. The company closed the quarter with a cash balance of $19 million, providing solid liquidity to execute on their strategic priorities.</w:t>
      </w:r>
    </w:p>
    <w:p>
      <w:r>
        <w:rPr>
          <w:rFonts w:ascii="等线(中文正文)" w:hAnsi="等线(中文正文)" w:cs="等线(中文正文)" w:eastAsia="等线(中文正文)"/>
          <w:b w:val="false"/>
          <w:i w:val="false"/>
          <w:sz w:val="20"/>
        </w:rPr>
        <w:t/>
      </w:r>
    </w:p>
    <w:p>
      <w:pPr>
        <w:pStyle w:val="ab"/>
      </w:pPr>
      <w:r>
        <w:t>What is the significance of the corporate sustainability report published by Canadian Solar?</w:t>
      </w:r>
    </w:p>
    <w:p>
      <w:r>
        <w:rPr>
          <w:rFonts w:ascii="等线(中文正文)" w:hAnsi="等线(中文正文)" w:cs="等线(中文正文)" w:eastAsia="等线(中文正文)"/>
          <w:b w:val="false"/>
          <w:i w:val="false"/>
          <w:sz w:val="20"/>
        </w:rPr>
        <w:t>发言人1：The corporate sustainability report published by Canadian Solar highlights their commitment to driving the global clean energy transition through sustainable and responsible business practices. It tracks their progress towards their net-zero greenhouse gas target and reinforces their commitment to resource efficiency, carbon reduction, supply chain transparency, ethical labor standards, and environmental responsibility, all of which contribute to building long-term stakeholder value.</w:t>
      </w:r>
    </w:p>
    <w:p>
      <w:r>
        <w:rPr>
          <w:rFonts w:ascii="等线(中文正文)" w:hAnsi="等线(中文正文)" w:cs="等线(中文正文)" w:eastAsia="等线(中文正文)"/>
          <w:b w:val="false"/>
          <w:i w:val="false"/>
          <w:sz w:val="20"/>
        </w:rPr>
        <w:t/>
      </w:r>
    </w:p>
    <w:p>
      <w:pPr>
        <w:pStyle w:val="ab"/>
      </w:pPr>
      <w:r>
        <w:t>What are the technological advancements and future plans mentioned by Canadian Solar?</w:t>
      </w:r>
    </w:p>
    <w:p>
      <w:r>
        <w:rPr>
          <w:rFonts w:ascii="等线(中文正文)" w:hAnsi="等线(中文正文)" w:cs="等线(中文正文)" w:eastAsia="等线(中文正文)"/>
          <w:b w:val="false"/>
          <w:i w:val="false"/>
          <w:sz w:val="20"/>
        </w:rPr>
        <w:t>发言人1：Canadian Solar is executing a multigeneration roadmap across solar PV and energy storage solutions, with a focus on next-generation HJT cells, improved efficiency in CNI and residential markets, and reducing power consumption. They expect to commence mass production of premium UBC architecture by 2024, aimed primarily at the premium residential market, with expected efficiencies between 24.8% and 25.2% and low silver usage of just 1 to 2 milligrams per water.</w:t>
      </w:r>
    </w:p>
    <w:p>
      <w:r>
        <w:rPr>
          <w:rFonts w:ascii="等线(中文正文)" w:hAnsi="等线(中文正文)" w:cs="等线(中文正文)" w:eastAsia="等线(中文正文)"/>
          <w:b w:val="false"/>
          <w:i w:val="false"/>
          <w:sz w:val="20"/>
        </w:rPr>
        <w:t/>
      </w:r>
    </w:p>
    <w:p>
      <w:pPr>
        <w:pStyle w:val="ab"/>
      </w:pPr>
      <w:r>
        <w:t>What are the planned applications for HJT cells in space and what are the critical factors for their success?</w:t>
      </w:r>
    </w:p>
    <w:p>
      <w:r>
        <w:rPr>
          <w:rFonts w:ascii="等线(中文正文)" w:hAnsi="等线(中文正文)" w:cs="等线(中文正文)" w:eastAsia="等线(中文正文)"/>
          <w:b w:val="false"/>
          <w:i w:val="false"/>
          <w:sz w:val="20"/>
        </w:rPr>
        <w:t>发言人1：The planned applications for HJT cells in space include space TV opportunities and other environments where radiation tolerance and thermal cycling resilience are critical. Long-term utility expansion is also a focus area for these next-generation technologies.</w:t>
      </w:r>
    </w:p>
    <w:p>
      <w:r>
        <w:rPr>
          <w:rFonts w:ascii="等线(中文正文)" w:hAnsi="等线(中文正文)" w:cs="等线(中文正文)" w:eastAsia="等线(中文正文)"/>
          <w:b w:val="false"/>
          <w:i w:val="false"/>
          <w:sz w:val="20"/>
        </w:rPr>
        <w:t/>
      </w:r>
    </w:p>
    <w:p>
      <w:pPr>
        <w:pStyle w:val="ab"/>
      </w:pPr>
      <w:r>
        <w:t>What are the projected benefits of the new HJT cell technologies for commercial and space applications?</w:t>
      </w:r>
    </w:p>
    <w:p>
      <w:r>
        <w:rPr>
          <w:rFonts w:ascii="等线(中文正文)" w:hAnsi="等线(中文正文)" w:cs="等线(中文正文)" w:eastAsia="等线(中文正文)"/>
          <w:b w:val="false"/>
          <w:i w:val="false"/>
          <w:sz w:val="20"/>
        </w:rPr>
        <w:t>发言人1：The new HJT cell technologies are expected to increase efficiency, with a long-term vision of reaching 30% efficiency, and they are anticipated to deliver substantial benefits for commercial and space applications, including the ability to replace traditional power units and integrate directly into power distribution systems.</w:t>
      </w:r>
    </w:p>
    <w:p>
      <w:r>
        <w:rPr>
          <w:rFonts w:ascii="等线(中文正文)" w:hAnsi="等线(中文正文)" w:cs="等线(中文正文)" w:eastAsia="等线(中文正文)"/>
          <w:b w:val="false"/>
          <w:i w:val="false"/>
          <w:sz w:val="20"/>
        </w:rPr>
        <w:t/>
      </w:r>
    </w:p>
    <w:p>
      <w:pPr>
        <w:pStyle w:val="ab"/>
      </w:pPr>
      <w:r>
        <w:t>What is the expected performance and longevity of the new L, F, P, S energy storage solutions?</w:t>
      </w:r>
    </w:p>
    <w:p>
      <w:r>
        <w:rPr>
          <w:rFonts w:ascii="等线(中文正文)" w:hAnsi="等线(中文正文)" w:cs="等线(中文正文)" w:eastAsia="等线(中文正文)"/>
          <w:b w:val="false"/>
          <w:i w:val="false"/>
          <w:sz w:val="20"/>
        </w:rPr>
        <w:t>发言人1：The new L, F, P, S energy storage solutions are expected to increase energy density and deliver up to 15,000 cycles. They also integrate with larger battery systems and aim to provide reliable and cost-effective energy storage.</w:t>
      </w:r>
    </w:p>
    <w:p>
      <w:r>
        <w:rPr>
          <w:rFonts w:ascii="等线(中文正文)" w:hAnsi="等线(中文正文)" w:cs="等线(中文正文)" w:eastAsia="等线(中文正文)"/>
          <w:b w:val="false"/>
          <w:i w:val="false"/>
          <w:sz w:val="20"/>
        </w:rPr>
        <w:t/>
      </w:r>
    </w:p>
    <w:p>
      <w:pPr>
        <w:pStyle w:val="ab"/>
      </w:pPr>
      <w:r>
        <w:t>What are the potential advantages of ZED call of stories, L, COF energy storage platforms?</w:t>
      </w:r>
    </w:p>
    <w:p>
      <w:r>
        <w:rPr>
          <w:rFonts w:ascii="等线(中文正文)" w:hAnsi="等线(中文正文)" w:cs="等线(中文正文)" w:eastAsia="等线(中文正文)"/>
          <w:b w:val="false"/>
          <w:i w:val="false"/>
          <w:sz w:val="20"/>
        </w:rPr>
        <w:t>发言人1：The ZED call of stories, L, COF energy storage platforms offer significant structural advantages such as reduced geopolitical risks in raw materials, improved performance in extreme temperatures, simplified coding requirements, and important safety features that can reduce thermal runaway risks.</w:t>
      </w:r>
    </w:p>
    <w:p>
      <w:r>
        <w:rPr>
          <w:rFonts w:ascii="等线(中文正文)" w:hAnsi="等线(中文正文)" w:cs="等线(中文正文)" w:eastAsia="等线(中文正文)"/>
          <w:b w:val="false"/>
          <w:i w:val="false"/>
          <w:sz w:val="20"/>
        </w:rPr>
        <w:t/>
      </w:r>
    </w:p>
    <w:p>
      <w:pPr>
        <w:pStyle w:val="ab"/>
      </w:pPr>
      <w:r>
        <w:t>What are the revenue expectations for the third quarter and the full year 2026?</w:t>
      </w:r>
    </w:p>
    <w:p>
      <w:r>
        <w:rPr>
          <w:rFonts w:ascii="等线(中文正文)" w:hAnsi="等线(中文正文)" w:cs="等线(中文正文)" w:eastAsia="等线(中文正文)"/>
          <w:b w:val="false"/>
          <w:i w:val="false"/>
          <w:sz w:val="20"/>
        </w:rPr>
        <w:t>发言人1：For the third quarter of 2026, revenue from solar modules is expected to range from 3.5 to 3.8 gigawatts. Energy storage deliveries are expected to be between 3.4 and 3.8 gigawatt-hours. The projected third-quarter revenue is between $1.3 and $1.5 billion, with growth margins expected to range between 13.5 and 15.5 percent. For the full year 2026, the company reiterates its guidance of 6.5 to 7 gigawatts of module shipments and 4.5 to 5.5 gigawatt-hours of energy storage shipments.</w:t>
      </w:r>
    </w:p>
    <w:p>
      <w:r>
        <w:rPr>
          <w:rFonts w:ascii="等线(中文正文)" w:hAnsi="等线(中文正文)" w:cs="等线(中文正文)" w:eastAsia="等线(中文正文)"/>
          <w:b w:val="false"/>
          <w:i w:val="false"/>
          <w:sz w:val="20"/>
        </w:rPr>
        <w:t/>
      </w:r>
    </w:p>
    <w:p>
      <w:pPr>
        <w:pStyle w:val="ab"/>
      </w:pPr>
      <w:r>
        <w:t>What is the impact of the new 32 policy on market adjustments and customer prices?</w:t>
      </w:r>
    </w:p>
    <w:p>
      <w:r>
        <w:rPr>
          <w:rFonts w:ascii="等线(中文正文)" w:hAnsi="等线(中文正文)" w:cs="等线(中文正文)" w:eastAsia="等线(中文正文)"/>
          <w:b w:val="false"/>
          <w:i w:val="false"/>
          <w:sz w:val="20"/>
        </w:rPr>
        <w:t>发言人1：The new 32 policy has led to market adjustments with a rush on accelerated deliveries in the second half of the year in anticipation of the proportion implementation. This has resulted in an increase in prices and a surge in demand. Canadian Solar is seeing strong demand for its products and customers are willing to adjust and work with them.</w:t>
      </w:r>
    </w:p>
    <w:p>
      <w:r>
        <w:rPr>
          <w:rFonts w:ascii="等线(中文正文)" w:hAnsi="等线(中文正文)" w:cs="等线(中文正文)" w:eastAsia="等线(中文正文)"/>
          <w:b w:val="false"/>
          <w:i w:val="false"/>
          <w:sz w:val="20"/>
        </w:rPr>
        <w:t/>
      </w:r>
    </w:p>
    <w:p>
      <w:pPr>
        <w:pStyle w:val="ab"/>
      </w:pPr>
      <w:r>
        <w:t>How is the Canadian Solar backlog and demand affected by the new tariffs?</w:t>
      </w:r>
    </w:p>
    <w:p>
      <w:r>
        <w:rPr>
          <w:rFonts w:ascii="等线(中文正文)" w:hAnsi="等线(中文正文)" w:cs="等线(中文正文)" w:eastAsia="等线(中文正文)"/>
          <w:b w:val="false"/>
          <w:i w:val="false"/>
          <w:sz w:val="20"/>
        </w:rPr>
        <w:t>发言人1：The Canadian Solar backlog shows strong demand for US-based products, with customers willing to adapt and work with the company as they navigate the changes brought about by the new tariffs.</w:t>
      </w:r>
    </w:p>
    <w:p>
      <w:r>
        <w:rPr>
          <w:rFonts w:ascii="等线(中文正文)" w:hAnsi="等线(中文正文)" w:cs="等线(中文正文)" w:eastAsia="等线(中文正文)"/>
          <w:b w:val="false"/>
          <w:i w:val="false"/>
          <w:sz w:val="20"/>
        </w:rPr>
        <w:t/>
      </w:r>
    </w:p>
    <w:p>
      <w:pPr>
        <w:pStyle w:val="ab"/>
      </w:pPr>
      <w:r>
        <w:t>What will the future growth imply for revenue and shipments once contracts and agreements are finalized?</w:t>
      </w:r>
    </w:p>
    <w:p>
      <w:r>
        <w:rPr>
          <w:rFonts w:ascii="等线(中文正文)" w:hAnsi="等线(中文正文)" w:cs="等线(中文正文)" w:eastAsia="等线(中文正文)"/>
          <w:b w:val="false"/>
          <w:i w:val="false"/>
          <w:sz w:val="20"/>
        </w:rPr>
        <w:t>发言人1：As contracts and agreements are finalized, there is an expectation that the revenue value will increase further due to the adjustment of tariffs. The exact amount is not yet finalized but includes a portion of the payment and certain shipment costs.</w:t>
      </w:r>
    </w:p>
    <w:p>
      <w:r>
        <w:rPr>
          <w:rFonts w:ascii="等线(中文正文)" w:hAnsi="等线(中文正文)" w:cs="等线(中文正文)" w:eastAsia="等线(中文正文)"/>
          <w:b w:val="false"/>
          <w:i w:val="false"/>
          <w:sz w:val="20"/>
        </w:rPr>
        <w:t/>
      </w:r>
    </w:p>
    <w:p>
      <w:pPr>
        <w:pStyle w:val="ab"/>
      </w:pPr>
      <w:r>
        <w:t>What is the company's position regarding the duty exemption for domestic capital expenditures?</w:t>
      </w:r>
    </w:p>
    <w:p>
      <w:r>
        <w:rPr>
          <w:rFonts w:ascii="等线(中文正文)" w:hAnsi="等线(中文正文)" w:cs="等线(中文正文)" w:eastAsia="等线(中文正文)"/>
          <w:b w:val="false"/>
          <w:i w:val="false"/>
          <w:sz w:val="20"/>
        </w:rPr>
        <w:t>发言人1：The company is in a good standing regarding the duty exemption for domestic capital expenditures and is actively engaging with the Department of Commerce to secure these benefits. They have applied for the necessary exemptions related to their US manufacturing plant.</w:t>
      </w:r>
    </w:p>
    <w:p>
      <w:r>
        <w:rPr>
          <w:rFonts w:ascii="等线(中文正文)" w:hAnsi="等线(中文正文)" w:cs="等线(中文正文)" w:eastAsia="等线(中文正文)"/>
          <w:b w:val="false"/>
          <w:i w:val="false"/>
          <w:sz w:val="20"/>
        </w:rPr>
        <w:t/>
      </w:r>
    </w:p>
    <w:p>
      <w:pPr>
        <w:pStyle w:val="ab"/>
      </w:pPr>
      <w:r>
        <w:t>Does the company expect to qualify for the time rebate program under the new tariffs?</w:t>
      </w:r>
    </w:p>
    <w:p>
      <w:r>
        <w:rPr>
          <w:rFonts w:ascii="等线(中文正文)" w:hAnsi="等线(中文正文)" w:cs="等线(中文正文)" w:eastAsia="等线(中文正文)"/>
          <w:b w:val="false"/>
          <w:i w:val="false"/>
          <w:sz w:val="20"/>
        </w:rPr>
        <w:t>发言人1：The company expects to qualify for the time rebate program as they have significant investments in US manufacturing for solar modules, cells, and storage. They are confident in their qualification due to these investments.</w:t>
      </w:r>
    </w:p>
    <w:p>
      <w:r>
        <w:rPr>
          <w:rFonts w:ascii="等线(中文正文)" w:hAnsi="等线(中文正文)" w:cs="等线(中文正文)" w:eastAsia="等线(中文正文)"/>
          <w:b w:val="false"/>
          <w:i w:val="false"/>
          <w:sz w:val="20"/>
        </w:rPr>
        <w:t/>
      </w:r>
    </w:p>
    <w:p>
      <w:pPr>
        <w:pStyle w:val="ab"/>
      </w:pPr>
      <w:r>
        <w:t>Can the company quantify the magnitude of price increases they have seen and predict future changes?</w:t>
      </w:r>
    </w:p>
    <w:p>
      <w:r>
        <w:rPr>
          <w:rFonts w:ascii="等线(中文正文)" w:hAnsi="等线(中文正文)" w:cs="等线(中文正文)" w:eastAsia="等线(中文正文)"/>
          <w:b w:val="false"/>
          <w:i w:val="false"/>
          <w:sz w:val="20"/>
        </w:rPr>
        <w:t>发言人1：The company is monitoring the market closely but it is premature to precisely speculate on the speed and magnitude of price changes. They are still a week or two into the new program and awaiting guidance which may shape their expectations.</w:t>
      </w:r>
    </w:p>
    <w:p>
      <w:r>
        <w:rPr>
          <w:rFonts w:ascii="等线(中文正文)" w:hAnsi="等线(中文正文)" w:cs="等线(中文正文)" w:eastAsia="等线(中文正文)"/>
          <w:b w:val="false"/>
          <w:i w:val="false"/>
          <w:sz w:val="20"/>
        </w:rPr>
        <w:t/>
      </w:r>
    </w:p>
    <w:p>
      <w:pPr>
        <w:pStyle w:val="ab"/>
      </w:pPr>
      <w:r>
        <w:t>How would the company handle the inability to qualify for the tariffs?</w:t>
      </w:r>
    </w:p>
    <w:p>
      <w:r>
        <w:rPr>
          <w:rFonts w:ascii="等线(中文正文)" w:hAnsi="等线(中文正文)" w:cs="等线(中文正文)" w:eastAsia="等线(中文正文)"/>
          <w:b w:val="false"/>
          <w:i w:val="false"/>
          <w:sz w:val="20"/>
        </w:rPr>
        <w:t>发言人1：If the company cannot qualify for the tariffs, they believe the MIP (Manufacturing Innovation Program) requirement will help strengthen US manufacturing efforts. Even without receiving tariffs, they will not be at a disadvantage as they are focused on meaningful manufacturing within the US.</w:t>
      </w:r>
    </w:p>
    <w:p>
      <w:r>
        <w:rPr>
          <w:rFonts w:ascii="等线(中文正文)" w:hAnsi="等线(中文正文)" w:cs="等线(中文正文)" w:eastAsia="等线(中文正文)"/>
          <w:b w:val="false"/>
          <w:i w:val="false"/>
          <w:sz w:val="20"/>
        </w:rPr>
        <w:t/>
      </w:r>
    </w:p>
    <w:p>
      <w:pPr>
        <w:pStyle w:val="ab"/>
      </w:pPr>
      <w:r>
        <w:t>What is the company's stance on the new White House policy on battery power systems and their ability to comply?</w:t>
      </w:r>
    </w:p>
    <w:p>
      <w:r>
        <w:rPr>
          <w:rFonts w:ascii="等线(中文正文)" w:hAnsi="等线(中文正文)" w:cs="等线(中文正文)" w:eastAsia="等线(中文正文)"/>
          <w:b w:val="false"/>
          <w:i w:val="false"/>
          <w:sz w:val="20"/>
        </w:rPr>
        <w:t>发言人1：The company does not want to comment specifically on the new policy change but emphasizes their strong ability to comply with US requirements due to their strong supply chain that supports domestic content requirements and is structured around US manufacturing plans. They have not experienced any changes that would prevent compliance with the new policy.</w:t>
      </w:r>
    </w:p>
    <w:p>
      <w:r>
        <w:rPr>
          <w:rFonts w:ascii="等线(中文正文)" w:hAnsi="等线(中文正文)" w:cs="等线(中文正文)" w:eastAsia="等线(中文正文)"/>
          <w:b w:val="false"/>
          <w:i w:val="false"/>
          <w:sz w:val="20"/>
        </w:rPr>
        <w:t/>
      </w:r>
    </w:p>
    <w:p>
      <w:pPr>
        <w:pStyle w:val="ab"/>
      </w:pPr>
      <w:r>
        <w:t>What is the company's current position regarding the movement of invoices into the US?</w:t>
      </w:r>
    </w:p>
    <w:p>
      <w:r>
        <w:rPr>
          <w:rFonts w:ascii="等线(中文正文)" w:hAnsi="等线(中文正文)" w:cs="等线(中文正文)" w:eastAsia="等线(中文正文)"/>
          <w:b w:val="false"/>
          <w:i w:val="false"/>
          <w:sz w:val="20"/>
        </w:rPr>
        <w:t>发言人1：The company's invoices are currently not being moved into the US.</w:t>
      </w:r>
    </w:p>
    <w:p>
      <w:r>
        <w:rPr>
          <w:rFonts w:ascii="等线(中文正文)" w:hAnsi="等线(中文正文)" w:cs="等线(中文正文)" w:eastAsia="等线(中文正文)"/>
          <w:b w:val="false"/>
          <w:i w:val="false"/>
          <w:sz w:val="20"/>
        </w:rPr>
        <w:t/>
      </w:r>
    </w:p>
    <w:p>
      <w:pPr>
        <w:pStyle w:val="ab"/>
      </w:pPr>
      <w:r>
        <w:t>What is the company's approach to ensuring its supply chain meets FCC requirements?</w:t>
      </w:r>
    </w:p>
    <w:p>
      <w:r>
        <w:rPr>
          <w:rFonts w:ascii="等线(中文正文)" w:hAnsi="等线(中文正文)" w:cs="等线(中文正文)" w:eastAsia="等线(中文正文)"/>
          <w:b w:val="false"/>
          <w:i w:val="false"/>
          <w:sz w:val="20"/>
        </w:rPr>
        <w:t>发言人1：The company is actively involved with its supply chain to ensure they meet all FCC requirements and have a path to fulfill those requirements.</w:t>
      </w:r>
    </w:p>
    <w:p>
      <w:r>
        <w:rPr>
          <w:rFonts w:ascii="等线(中文正文)" w:hAnsi="等线(中文正文)" w:cs="等线(中文正文)" w:eastAsia="等线(中文正文)"/>
          <w:b w:val="false"/>
          <w:i w:val="false"/>
          <w:sz w:val="20"/>
        </w:rPr>
        <w:t/>
      </w:r>
    </w:p>
    <w:p>
      <w:pPr>
        <w:pStyle w:val="ab"/>
      </w:pPr>
      <w:r>
        <w:t>What recent clarification has the company observed regarding communication protocols and how does it affect the business?</w:t>
      </w:r>
    </w:p>
    <w:p>
      <w:r>
        <w:rPr>
          <w:rFonts w:ascii="等线(中文正文)" w:hAnsi="等线(中文正文)" w:cs="等线(中文正文)" w:eastAsia="等线(中文正文)"/>
          <w:b w:val="false"/>
          <w:i w:val="false"/>
          <w:sz w:val="20"/>
        </w:rPr>
        <w:t>发言人1：The company has observed a recent clarification provided with respect to communication protocols, which they are looking at carefully. They do not see any impact to their business at the moment with respect to FCC requirements.</w:t>
      </w:r>
    </w:p>
    <w:p>
      <w:r>
        <w:rPr>
          <w:rFonts w:ascii="等线(中文正文)" w:hAnsi="等线(中文正文)" w:cs="等线(中文正文)" w:eastAsia="等线(中文正文)"/>
          <w:b w:val="false"/>
          <w:i w:val="false"/>
          <w:sz w:val="20"/>
        </w:rPr>
        <w:t/>
      </w:r>
    </w:p>
    <w:p>
      <w:pPr>
        <w:pStyle w:val="ab"/>
      </w:pPr>
      <w:r>
        <w:t>How is the company responding to the new guide's classification of products as domestic?</w:t>
      </w:r>
    </w:p>
    <w:p>
      <w:r>
        <w:rPr>
          <w:rFonts w:ascii="等线(中文正文)" w:hAnsi="等线(中文正文)" w:cs="等线(中文正文)" w:eastAsia="等线(中文正文)"/>
          <w:b w:val="false"/>
          <w:i w:val="false"/>
          <w:sz w:val="20"/>
        </w:rPr>
        <w:t>发言人1：The company is actively reviewing the visibility of manufacturing their products, specifically in the US, to utilize the recent changes in classification.</w:t>
      </w:r>
    </w:p>
    <w:p>
      <w:r>
        <w:rPr>
          <w:rFonts w:ascii="等线(中文正文)" w:hAnsi="等线(中文正文)" w:cs="等线(中文正文)" w:eastAsia="等线(中文正文)"/>
          <w:b w:val="false"/>
          <w:i w:val="false"/>
          <w:sz w:val="20"/>
        </w:rPr>
        <w:t/>
      </w:r>
    </w:p>
    <w:p>
      <w:pPr>
        <w:pStyle w:val="ab"/>
      </w:pPr>
      <w:r>
        <w:t>What opportunities might the company's strong US manufacturing have in relation to existing supply agreements?</w:t>
      </w:r>
    </w:p>
    <w:p>
      <w:r>
        <w:rPr>
          <w:rFonts w:ascii="等线(中文正文)" w:hAnsi="等线(中文正文)" w:cs="等线(中文正文)" w:eastAsia="等线(中文正文)"/>
          <w:b w:val="false"/>
          <w:i w:val="false"/>
          <w:sz w:val="20"/>
        </w:rPr>
        <w:t>发言人1：The company's strong US manufacturing, along with existing supply agreements for other products, could present opportunities, especially with the potential new policies.</w:t>
      </w:r>
    </w:p>
    <w:p>
      <w:r>
        <w:rPr>
          <w:rFonts w:ascii="等线(中文正文)" w:hAnsi="等线(中文正文)" w:cs="等线(中文正文)" w:eastAsia="等线(中文正文)"/>
          <w:b w:val="false"/>
          <w:i w:val="false"/>
          <w:sz w:val="20"/>
        </w:rPr>
        <w:t/>
      </w:r>
    </w:p>
    <w:p>
      <w:pPr>
        <w:pStyle w:val="ab"/>
      </w:pPr>
      <w:r>
        <w:t>Is the company currently working with major clients in the space industry or at a development stage for space TV?</w:t>
      </w:r>
    </w:p>
    <w:p>
      <w:r>
        <w:rPr>
          <w:rFonts w:ascii="等线(中文正文)" w:hAnsi="等线(中文正文)" w:cs="等线(中文正文)" w:eastAsia="等线(中文正文)"/>
          <w:b w:val="false"/>
          <w:i w:val="false"/>
          <w:sz w:val="20"/>
        </w:rPr>
        <w:t>发言人1：The company is actively looking into the feasibility of space TV and is in some form of collaboration with major clients or at an important development stage in the space industry.</w:t>
      </w:r>
    </w:p>
    <w:p>
      <w:r>
        <w:rPr>
          <w:rFonts w:ascii="等线(中文正文)" w:hAnsi="等线(中文正文)" w:cs="等线(中文正文)" w:eastAsia="等线(中文正文)"/>
          <w:b w:val="false"/>
          <w:i w:val="false"/>
          <w:sz w:val="20"/>
        </w:rPr>
        <w:t/>
      </w:r>
    </w:p>
    <w:p>
      <w:pPr>
        <w:pStyle w:val="ab"/>
      </w:pPr>
      <w:r>
        <w:t>What is the company's position on the potential space TV application and its compatibility with HAT technology?</w:t>
      </w:r>
    </w:p>
    <w:p>
      <w:r>
        <w:rPr>
          <w:rFonts w:ascii="等线(中文正文)" w:hAnsi="等线(中文正文)" w:cs="等线(中文正文)" w:eastAsia="等线(中文正文)"/>
          <w:b w:val="false"/>
          <w:i w:val="false"/>
          <w:sz w:val="20"/>
        </w:rPr>
        <w:t>发言人1：The company considers space TV to be a very favorable application and believes that HAT technology has better tolerance for height and could be a leading candidate for silicon-based solar cell updates in space.</w:t>
      </w:r>
    </w:p>
    <w:p>
      <w:r>
        <w:rPr>
          <w:rFonts w:ascii="等线(中文正文)" w:hAnsi="等线(中文正文)" w:cs="等线(中文正文)" w:eastAsia="等线(中文正文)"/>
          <w:b w:val="false"/>
          <w:i w:val="false"/>
          <w:sz w:val="20"/>
        </w:rPr>
        <w:t/>
      </w:r>
    </w:p>
    <w:p>
      <w:pPr>
        <w:pStyle w:val="ab"/>
      </w:pPr>
      <w:r>
        <w:t>How is the company's JTH technology performing in space applications and what is the collaboration status with space-related partners?</w:t>
      </w:r>
    </w:p>
    <w:p>
      <w:r>
        <w:rPr>
          <w:rFonts w:ascii="等线(中文正文)" w:hAnsi="等线(中文正文)" w:cs="等线(中文正文)" w:eastAsia="等线(中文正文)"/>
          <w:b w:val="false"/>
          <w:i w:val="false"/>
          <w:sz w:val="20"/>
        </w:rPr>
        <w:t>发言人1：The company is collaborating with space-related partners, especially satellite companies, and is discussing the application of JTH technology. They have not disclosed the customer name but have successful collaborations.</w:t>
      </w:r>
    </w:p>
    <w:p>
      <w:r>
        <w:rPr>
          <w:rFonts w:ascii="等线(中文正文)" w:hAnsi="等线(中文正文)" w:cs="等线(中文正文)" w:eastAsia="等线(中文正文)"/>
          <w:b w:val="false"/>
          <w:i w:val="false"/>
          <w:sz w:val="20"/>
        </w:rPr>
        <w:t/>
      </w:r>
    </w:p>
    <w:p>
      <w:pPr>
        <w:pStyle w:val="ab"/>
      </w:pPr>
      <w:r>
        <w:t>Why was HAT technology chosen for the US market and what is the company's history with HAT development?</w:t>
      </w:r>
    </w:p>
    <w:p>
      <w:r>
        <w:rPr>
          <w:rFonts w:ascii="等线(中文正文)" w:hAnsi="等线(中文正文)" w:cs="等线(中文正文)" w:eastAsia="等线(中文正文)"/>
          <w:b w:val="false"/>
          <w:i w:val="false"/>
          <w:sz w:val="20"/>
        </w:rPr>
        <w:t>发言人1：HAT technology was chosen for the US market for server reasons, not one reason. The company has studied HAT structures as early as 2018 and has been doing pilot HAT development for the past six to seven years.</w:t>
      </w:r>
    </w:p>
    <w:p>
      <w:r>
        <w:rPr>
          <w:rFonts w:ascii="等线(中文正文)" w:hAnsi="等线(中文正文)" w:cs="等线(中文正文)" w:eastAsia="等线(中文正文)"/>
          <w:b w:val="false"/>
          <w:i w:val="false"/>
          <w:sz w:val="20"/>
        </w:rPr>
        <w:t/>
      </w:r>
    </w:p>
    <w:p>
      <w:pPr>
        <w:pStyle w:val="ab"/>
      </w:pPr>
      <w:r>
        <w:t>What factors does the company consider to be unique advantages of US manufacturing and IP issues?</w:t>
      </w:r>
    </w:p>
    <w:p>
      <w:r>
        <w:rPr>
          <w:rFonts w:ascii="等线(中文正文)" w:hAnsi="等线(中文正文)" w:cs="等线(中文正文)" w:eastAsia="等线(中文正文)"/>
          <w:b w:val="false"/>
          <w:i w:val="false"/>
          <w:sz w:val="20"/>
        </w:rPr>
        <w:t>发言人1：The company considers the US manufacturing process to be equipment-dependent rather than labor-dependent, and they are confident in their top comm technologies' independence and lack of conflict with other companies' IP. Additionally, they believe HAT technology is a leading candidate for space applications.</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2026-08-27T14:13:00Z</dcterms:created>
  <dc:creator>Apache POI</dc:creator>
</cp:coreProperties>
</file>