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浙商固收 - 转债基础研究框架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可转债 股债二象性 转股溢价率 强赎 回收 下修 债底 转换价值 存续期限 转股价 到期收益率 YTM 转债价格 正股 期权 信用债 融资 投资 市场利率 下修条款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可转债，起源于1843年的美国，历经数十年发展，形成了包括赎回、回收、下修等关键条款的制度框架。1955年和1975年的条款进一步完善了可转债的规则。自1993年国内发行首支公募可转债以来，市场逐步成熟，2000年后，随着关键条款的丰富，可转债成为机构投资者青睐的投资工具。其独特的股债二象性，赋予了可转债在市场波动中的灵活性，既能在股价上涨时提供收益，又能通过转换为股票抵御下跌风险。估值方法、三大关键条款及其对投资者和发行人的重要性，影响着可转债的定价和市场表现。监管政策的演变也对可转债市场发展起到了关键作用。这段对话旨在为投资者提供全面的可转债基础知识，揭示其运作机制和投资价值，展望未来市场发展方向。</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转债基础知识与历史发展</w:t>
      </w:r>
    </w:p>
    <w:p>
      <w:r>
        <w:rPr>
          <w:rFonts w:ascii="等线(中文正文)" w:hAnsi="等线(中文正文)" w:cs="等线(中文正文)" w:eastAsia="等线(中文正文)"/>
          <w:b w:val="false"/>
          <w:i w:val="false"/>
          <w:sz w:val="20"/>
        </w:rPr>
        <w:t>本次分享深入探讨了转债的起源、发展历史及核心要素，从1843年美国的伊利铁路公司发行首只转债开始，到2000年绩效转债确立下修、强赎和回收三大条款，梳理了转债制度的演变过程。同时，分析了A股市场转债的成熟路径，以及转债作为投资品种的重要地位，适合转债新手参考学习。</w:t>
      </w:r>
    </w:p>
    <w:p>
      <w:r>
        <w:rPr>
          <w:rFonts w:ascii="等线(中文正文)" w:hAnsi="等线(中文正文)" w:cs="等线(中文正文)" w:eastAsia="等线(中文正文)"/>
          <w:b w:val="false"/>
          <w:i w:val="false"/>
          <w:sz w:val="20"/>
        </w:rPr>
        <w:t/>
      </w:r>
    </w:p>
    <w:p>
      <w:pPr>
        <w:pStyle w:val="ab"/>
        <w:numPr>
          <w:numId w:val="2"/>
        </w:numPr>
      </w:pPr>
      <w:r>
        <w:t>01:54 转债股债二象性解析</w:t>
      </w:r>
    </w:p>
    <w:p>
      <w:r>
        <w:rPr>
          <w:rFonts w:ascii="等线(中文正文)" w:hAnsi="等线(中文正文)" w:cs="等线(中文正文)" w:eastAsia="等线(中文正文)"/>
          <w:b w:val="false"/>
          <w:i w:val="false"/>
          <w:sz w:val="20"/>
        </w:rPr>
        <w:t>转债兼具债券与股票特性，其价格受债底保护和转股价值影响。正股下跌时，债底限制转债价格下跌；正股上涨时，转债价格随转换价值上升，展现进攻弹性。熊市中转债回撤小于股票，体现配置价值。</w:t>
      </w:r>
    </w:p>
    <w:p>
      <w:r>
        <w:rPr>
          <w:rFonts w:ascii="等线(中文正文)" w:hAnsi="等线(中文正文)" w:cs="等线(中文正文)" w:eastAsia="等线(中文正文)"/>
          <w:b w:val="false"/>
          <w:i w:val="false"/>
          <w:sz w:val="20"/>
        </w:rPr>
        <w:t/>
      </w:r>
    </w:p>
    <w:p>
      <w:pPr>
        <w:pStyle w:val="ab"/>
        <w:numPr>
          <w:numId w:val="3"/>
        </w:numPr>
      </w:pPr>
      <w:r>
        <w:t>05:20 机构配置转债策略与转债基础要素解析</w:t>
      </w:r>
    </w:p>
    <w:p>
      <w:r>
        <w:rPr>
          <w:rFonts w:ascii="等线(中文正文)" w:hAnsi="等线(中文正文)" w:cs="等线(中文正文)" w:eastAsia="等线(中文正文)"/>
          <w:b w:val="false"/>
          <w:i w:val="false"/>
          <w:sz w:val="20"/>
        </w:rPr>
        <w:t>讨论了机构特别是债基配置转债的原因，包括利率下行导致收益增厚需求以及转债作为权益资产布局的通道作用。分析了转债的票面利率、发行规模、期限及转股规则等基础要素，指出转债在机构投资策略中的重要性及其市场特性。</w:t>
      </w:r>
    </w:p>
    <w:p>
      <w:r>
        <w:rPr>
          <w:rFonts w:ascii="等线(中文正文)" w:hAnsi="等线(中文正文)" w:cs="等线(中文正文)" w:eastAsia="等线(中文正文)"/>
          <w:b w:val="false"/>
          <w:i w:val="false"/>
          <w:sz w:val="20"/>
        </w:rPr>
        <w:t/>
      </w:r>
    </w:p>
    <w:p>
      <w:pPr>
        <w:pStyle w:val="ab"/>
        <w:numPr>
          <w:numId w:val="4"/>
        </w:numPr>
      </w:pPr>
      <w:r>
        <w:t>07:49 转债估值分析：股性与债性核心指标详解</w:t>
      </w:r>
    </w:p>
    <w:p>
      <w:r>
        <w:rPr>
          <w:rFonts w:ascii="等线(中文正文)" w:hAnsi="等线(中文正文)" w:cs="等线(中文正文)" w:eastAsia="等线(中文正文)"/>
          <w:b w:val="false"/>
          <w:i w:val="false"/>
          <w:sz w:val="20"/>
        </w:rPr>
        <w:t>对话详细解析了转债估值中衡量股性的两个核心指标：转股溢价率和隐含波动率。转股溢价率受评价影响，低评价券的高溢价可能合理，而高评价券则可能高估。隐含波动率反映市场对正股未来波动的预期，但BS模型未完全考虑特殊条款，仅作参考。通过回归模型拟合特定转换价值水平的转股溢价率，可解决跨券比较问题。</w:t>
      </w:r>
    </w:p>
    <w:p>
      <w:r>
        <w:rPr>
          <w:rFonts w:ascii="等线(中文正文)" w:hAnsi="等线(中文正文)" w:cs="等线(中文正文)" w:eastAsia="等线(中文正文)"/>
          <w:b w:val="false"/>
          <w:i w:val="false"/>
          <w:sz w:val="20"/>
        </w:rPr>
        <w:t/>
      </w:r>
    </w:p>
    <w:p>
      <w:pPr>
        <w:pStyle w:val="ab"/>
        <w:numPr>
          <w:numId w:val="5"/>
        </w:numPr>
      </w:pPr>
      <w:r>
        <w:t>10:40 转债指标与核心条款解析</w:t>
      </w:r>
    </w:p>
    <w:p>
      <w:r>
        <w:rPr>
          <w:rFonts w:ascii="等线(中文正文)" w:hAnsi="等线(中文正文)" w:cs="等线(中文正文)" w:eastAsia="等线(中文正文)"/>
          <w:b w:val="false"/>
          <w:i w:val="false"/>
          <w:sz w:val="20"/>
        </w:rPr>
        <w:t>对话深入探讨了衡量转债的两大指标：溢价率与到期收益率，指出当前多数转债YTM小于零，暗示价格偏高。同时，重点解析转债的三大核心条款——下修、强赎与回收，强调这些条款促使转债以转股形式退出，降低发行人财务负担。下修最易触发，强赎需满六个月后，回收概率最低。</w:t>
      </w:r>
    </w:p>
    <w:p>
      <w:r>
        <w:rPr>
          <w:rFonts w:ascii="等线(中文正文)" w:hAnsi="等线(中文正文)" w:cs="等线(中文正文)" w:eastAsia="等线(中文正文)"/>
          <w:b w:val="false"/>
          <w:i w:val="false"/>
          <w:sz w:val="20"/>
        </w:rPr>
        <w:t/>
      </w:r>
    </w:p>
    <w:p>
      <w:pPr>
        <w:pStyle w:val="ab"/>
        <w:numPr>
          <w:numId w:val="6"/>
        </w:numPr>
      </w:pPr>
      <w:r>
        <w:t>12:33 强赎条款与投资者操作策略解析</w:t>
      </w:r>
    </w:p>
    <w:p>
      <w:r>
        <w:rPr>
          <w:rFonts w:ascii="等线(中文正文)" w:hAnsi="等线(中文正文)" w:cs="等线(中文正文)" w:eastAsia="等线(中文正文)"/>
          <w:b w:val="false"/>
          <w:i w:val="false"/>
          <w:sz w:val="20"/>
        </w:rPr>
        <w:t>强赎是发行人在特定条件下有权赎回转债，旨在推动投资者转股或卖出。价格条件为股价连续30天内至少10天高于转股价130%，或规模条件剩余未转股转债不足3000万。发行人提前公告，符合条件后召开董事会决定是否赎回。若赎回，发放日与触发日间隔15-30个交易日；若放弃，未来三个月内不可再启动。公司可能因融资需求、避免股本扩大或大股东减持未完而延迟赎回。投资者应根据市场情况，合理选择转股或卖出以避免损失。</w:t>
      </w:r>
    </w:p>
    <w:p>
      <w:r>
        <w:rPr>
          <w:rFonts w:ascii="等线(中文正文)" w:hAnsi="等线(中文正文)" w:cs="等线(中文正文)" w:eastAsia="等线(中文正文)"/>
          <w:b w:val="false"/>
          <w:i w:val="false"/>
          <w:sz w:val="20"/>
        </w:rPr>
        <w:t/>
      </w:r>
    </w:p>
    <w:p>
      <w:pPr>
        <w:pStyle w:val="ab"/>
        <w:numPr>
          <w:numId w:val="7"/>
        </w:numPr>
      </w:pPr>
      <w:r>
        <w:t>15:14 转债回收条款解析：投资者权益与发行人策略</w:t>
      </w:r>
    </w:p>
    <w:p>
      <w:r>
        <w:rPr>
          <w:rFonts w:ascii="等线(中文正文)" w:hAnsi="等线(中文正文)" w:cs="等线(中文正文)" w:eastAsia="等线(中文正文)"/>
          <w:b w:val="false"/>
          <w:i w:val="false"/>
          <w:sz w:val="20"/>
        </w:rPr>
        <w:t>对话深入探讨了转债中的回收条款，包括其作为投资者在股价下跌时的兜底机制的功能，以及发行人为避免回收而采取的策略。重点介绍了有条件回收的生效条件和限制，强调了回收条款对双方并非理想退出路径的事实，指出其仅为保护性措施而非收益来源。</w:t>
      </w:r>
    </w:p>
    <w:p>
      <w:r>
        <w:rPr>
          <w:rFonts w:ascii="等线(中文正文)" w:hAnsi="等线(中文正文)" w:cs="等线(中文正文)" w:eastAsia="等线(中文正文)"/>
          <w:b w:val="false"/>
          <w:i w:val="false"/>
          <w:sz w:val="20"/>
        </w:rPr>
        <w:t/>
      </w:r>
    </w:p>
    <w:p>
      <w:pPr>
        <w:pStyle w:val="ab"/>
        <w:numPr>
          <w:numId w:val="8"/>
        </w:numPr>
      </w:pPr>
      <w:r>
        <w:t>17:25 可转债下修条款详解与动机分析</w:t>
      </w:r>
    </w:p>
    <w:p>
      <w:r>
        <w:rPr>
          <w:rFonts w:ascii="等线(中文正文)" w:hAnsi="等线(中文正文)" w:cs="等线(中文正文)" w:eastAsia="等线(中文正文)"/>
          <w:b w:val="false"/>
          <w:i w:val="false"/>
          <w:sz w:val="20"/>
        </w:rPr>
        <w:t>对话深入解析了可转债下修条款的触发条件、流程及其背后的三大动机，包括规避回收压力、为未来转股铺垫及配合大股东减持。通过下调转股价，发行人能有效缓解流动性压力，促进转股，并在市场低迷时修复估值，助力大股东退出。</w:t>
      </w:r>
    </w:p>
    <w:p>
      <w:r>
        <w:rPr>
          <w:rFonts w:ascii="等线(中文正文)" w:hAnsi="等线(中文正文)" w:cs="等线(中文正文)" w:eastAsia="等线(中文正文)"/>
          <w:b w:val="false"/>
          <w:i w:val="false"/>
          <w:sz w:val="20"/>
        </w:rPr>
        <w:t/>
      </w:r>
    </w:p>
    <w:p>
      <w:pPr>
        <w:pStyle w:val="ab"/>
        <w:numPr>
          <w:numId w:val="9"/>
        </w:numPr>
      </w:pPr>
      <w:r>
        <w:t>20:01 可转债监管规则演变与市场影响分析</w:t>
      </w:r>
    </w:p>
    <w:p>
      <w:r>
        <w:rPr>
          <w:rFonts w:ascii="等线(中文正文)" w:hAnsi="等线(中文正文)" w:cs="等线(中文正文)" w:eastAsia="等线(中文正文)"/>
          <w:b w:val="false"/>
          <w:i w:val="false"/>
          <w:sz w:val="20"/>
        </w:rPr>
        <w:t>对话梳理了可转债监管规则的三个阶段演变，从探索起步到正式纳入再融资监管，再到精细化管理，强调监管政策对转债供给节奏的影响。指出转债与定增为上市公司可替代融资手段，政策导向对转债供给有直接影响。未来培训将深入条款博弈内容。</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他在浙商估值大讲堂中全面介绍了可转债的基础知识，从起源追溯到1843年的美国纽约伊利铁路公司，详细讲述了其发展历程和核心要素，包括赎回、回售、转股价下修等关键条款。通过分析国内市场，强调了转债的股债二象性以及其独特的投资特性。此外，他深入讲解了转债的估值指标，并回顾了转债监管政策的演变，以及这些变化对上市公司和投资者的影响。整场讲座旨在为初学者搭建一个完整的转债分析框架，为进一步的深入学习打下坚实的基础。</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问：转债的起源和发展历史是怎样的？</w:t>
      </w:r>
    </w:p>
    <w:p>
      <w:r>
        <w:rPr>
          <w:rFonts w:ascii="等线(中文正文)" w:hAnsi="等线(中文正文)" w:cs="等线(中文正文)" w:eastAsia="等线(中文正文)"/>
          <w:b w:val="false"/>
          <w:i w:val="false"/>
          <w:sz w:val="20"/>
        </w:rPr>
        <w:t>发言人1 答：转债起源于1843年的美国，当时纽约伊利铁路公司为了修铁路发行了兼具债券利息和转股票的证券。后续几十年，转债逐步完善核心条款，如1955年的赎回条款保护发行人，1975年的回收条款保护投资者，以及90年代日本银行推出的转股价下修设计。这些条款后来被A股转债所借鉴。</w:t>
      </w:r>
    </w:p>
    <w:p>
      <w:r>
        <w:rPr>
          <w:rFonts w:ascii="等线(中文正文)" w:hAnsi="等线(中文正文)" w:cs="等线(中文正文)" w:eastAsia="等线(中文正文)"/>
          <w:b w:val="false"/>
          <w:i w:val="false"/>
          <w:sz w:val="20"/>
        </w:rPr>
        <w:t/>
      </w:r>
    </w:p>
    <w:p>
      <w:pPr>
        <w:pStyle w:val="ab"/>
      </w:pPr>
      <w:r>
        <w:t>发言人1 问：国内转债市场有哪些标志性案例？</w:t>
      </w:r>
    </w:p>
    <w:p>
      <w:r>
        <w:rPr>
          <w:rFonts w:ascii="等线(中文正文)" w:hAnsi="等线(中文正文)" w:cs="等线(中文正文)" w:eastAsia="等线(中文正文)"/>
          <w:b w:val="false"/>
          <w:i w:val="false"/>
          <w:sz w:val="20"/>
        </w:rPr>
        <w:t>发言人1 答：国内市场的两个标志性案例是1993年的保安转债和2000年的绩效转债。保安转债是A股第一支公募可转债，但因早期制度不完善，转股率低且未能充分发挥转债优势。而绩效转债首次配齐了下修、强赎和回收三大核心条款，标志着A股转债制度走向成熟。</w:t>
      </w:r>
    </w:p>
    <w:p>
      <w:r>
        <w:rPr>
          <w:rFonts w:ascii="等线(中文正文)" w:hAnsi="等线(中文正文)" w:cs="等线(中文正文)" w:eastAsia="等线(中文正文)"/>
          <w:b w:val="false"/>
          <w:i w:val="false"/>
          <w:sz w:val="20"/>
        </w:rPr>
        <w:t/>
      </w:r>
    </w:p>
    <w:p>
      <w:pPr>
        <w:pStyle w:val="ab"/>
      </w:pPr>
      <w:r>
        <w:t>发言人1 问：转债最本质的特点是什么？</w:t>
      </w:r>
    </w:p>
    <w:p>
      <w:r>
        <w:rPr>
          <w:rFonts w:ascii="等线(中文正文)" w:hAnsi="等线(中文正文)" w:cs="等线(中文正文)" w:eastAsia="等线(中文正文)"/>
          <w:b w:val="false"/>
          <w:i w:val="false"/>
          <w:sz w:val="20"/>
        </w:rPr>
        <w:t>发言人1 答：转债最本质的特点是股债二象性，它既是一种附带看涨期权的债券，又可以通过约定价格转换为上市公司的股票。从债券角度看，转债需还本付息并有债底提供价格下行保障；从股票角度看，转债包含了看涨期权，正股上涨时转债价格可随之跟涨，体现股性。</w:t>
      </w:r>
    </w:p>
    <w:p>
      <w:r>
        <w:rPr>
          <w:rFonts w:ascii="等线(中文正文)" w:hAnsi="等线(中文正文)" w:cs="等线(中文正文)" w:eastAsia="等线(中文正文)"/>
          <w:b w:val="false"/>
          <w:i w:val="false"/>
          <w:sz w:val="20"/>
        </w:rPr>
        <w:t/>
      </w:r>
    </w:p>
    <w:p>
      <w:pPr>
        <w:pStyle w:val="ab"/>
      </w:pPr>
      <w:r>
        <w:t>发言人1 问：转债价格如何受到正股价格影响？</w:t>
      </w:r>
    </w:p>
    <w:p>
      <w:r>
        <w:rPr>
          <w:rFonts w:ascii="等线(中文正文)" w:hAnsi="等线(中文正文)" w:cs="等线(中文正文)" w:eastAsia="等线(中文正文)"/>
          <w:b w:val="false"/>
          <w:i w:val="false"/>
          <w:sz w:val="20"/>
        </w:rPr>
        <w:t>发言人1 答：转债价格受正股价格影响显著，通过转换价值这条蓝线可以直观理解这一关系，转换价值等于正股价格乘以100再除以转股价，与正股价格完全线性同步。当正股价格较低时，转债更多体现债性；随着正股价格上涨，转换价值超过债底后，转债定价逻辑切换至股性主导，价格跟随正股上涨并产生转股溢价。</w:t>
      </w:r>
    </w:p>
    <w:p>
      <w:r>
        <w:rPr>
          <w:rFonts w:ascii="等线(中文正文)" w:hAnsi="等线(中文正文)" w:cs="等线(中文正文)" w:eastAsia="等线(中文正文)"/>
          <w:b w:val="false"/>
          <w:i w:val="false"/>
          <w:sz w:val="20"/>
        </w:rPr>
        <w:t/>
      </w:r>
    </w:p>
    <w:p>
      <w:pPr>
        <w:pStyle w:val="ab"/>
      </w:pPr>
      <w:r>
        <w:t>发言人1 问：机构为何要配置转债？</w:t>
      </w:r>
    </w:p>
    <w:p>
      <w:r>
        <w:rPr>
          <w:rFonts w:ascii="等线(中文正文)" w:hAnsi="等线(中文正文)" w:cs="等线(中文正文)" w:eastAsia="等线(中文正文)"/>
          <w:b w:val="false"/>
          <w:i w:val="false"/>
          <w:sz w:val="20"/>
        </w:rPr>
        <w:t>发言人1 答：机构配置转债主要有两个原因：一是近几年利率下行，纯靠利率债和信用债难以覆盖负债端成本，转债可以增厚收益；二是对于一级债基和部分二级债基而言，转债是布局权益市场的一个重要渠道，能够间接提升权益仓位弹性。</w:t>
      </w:r>
    </w:p>
    <w:p>
      <w:r>
        <w:rPr>
          <w:rFonts w:ascii="等线(中文正文)" w:hAnsi="等线(中文正文)" w:cs="等线(中文正文)" w:eastAsia="等线(中文正文)"/>
          <w:b w:val="false"/>
          <w:i w:val="false"/>
          <w:sz w:val="20"/>
        </w:rPr>
        <w:t/>
      </w:r>
    </w:p>
    <w:p>
      <w:pPr>
        <w:pStyle w:val="ab"/>
      </w:pPr>
      <w:r>
        <w:t>发言人1 问：转债的基础要素有哪些？</w:t>
      </w:r>
    </w:p>
    <w:p>
      <w:r>
        <w:rPr>
          <w:rFonts w:ascii="等线(中文正文)" w:hAnsi="等线(中文正文)" w:cs="等线(中文正文)" w:eastAsia="等线(中文正文)"/>
          <w:b w:val="false"/>
          <w:i w:val="false"/>
          <w:sz w:val="20"/>
        </w:rPr>
        <w:t>发言人1 答：转债的基础要素包括票面利率（多数公募转债采用累进利率逐年抬升，私募和定向发行转债多为固定利率）；发行规模（集中在3到10亿，主要原因是中等资本开支需求、避免股本过度稀释及减轻到期还本压力）；发行期限（几乎全部为六年期，但实际存续期限更短，转股起始时间通常为发行结束满六个月之后）。</w:t>
      </w:r>
    </w:p>
    <w:p>
      <w:r>
        <w:rPr>
          <w:rFonts w:ascii="等线(中文正文)" w:hAnsi="等线(中文正文)" w:cs="等线(中文正文)" w:eastAsia="等线(中文正文)"/>
          <w:b w:val="false"/>
          <w:i w:val="false"/>
          <w:sz w:val="20"/>
        </w:rPr>
        <w:t/>
      </w:r>
    </w:p>
    <w:p>
      <w:pPr>
        <w:pStyle w:val="ab"/>
      </w:pPr>
      <w:r>
        <w:t>发言人1 问：转债估值中如何衡量其股性？除了转股溢价率外，还有哪些用于衡量债性的指标？</w:t>
      </w:r>
    </w:p>
    <w:p>
      <w:r>
        <w:rPr>
          <w:rFonts w:ascii="等线(中文正文)" w:hAnsi="等线(中文正文)" w:cs="等线(中文正文)" w:eastAsia="等线(中文正文)"/>
          <w:b w:val="false"/>
          <w:i w:val="false"/>
          <w:sz w:val="20"/>
        </w:rPr>
        <w:t>发言人1 答：衡量转债股性的两个核心指标分别是转股溢价率和隐含波动率。转股溢价率是转债价格相较于正股价格高出多少个百分点，它能反映转债相对于股票的额外价值。转股溢价率越低，代表转债的股性越强。然而，该指标具有局限性，只能对比评价相近的转债，并且在时间序列上缺乏可比性。例如，即使两个转债的转股溢价率相同，由于它们所在的价格区间不同，实际估值可能相差较大。另一个重要指标是隐含波动率，它是通过将转债价格带入BS模型反推出来的市场对未来股价波动的预期。隐含波动率高于正股历史波动率时，代表期权估值偏贵；低于历史波动率时，则代表期权便宜。但需要注意的是，BS模型并未完全考虑下修、强赎和回收等特殊条款的影响，因此只能作为参考。</w:t>
      </w:r>
    </w:p>
    <w:p>
      <w:r>
        <w:rPr>
          <w:rFonts w:ascii="等线(中文正文)" w:hAnsi="等线(中文正文)" w:cs="等线(中文正文)" w:eastAsia="等线(中文正文)"/>
          <w:b w:val="false"/>
          <w:i w:val="false"/>
          <w:sz w:val="20"/>
        </w:rPr>
        <w:t/>
      </w:r>
    </w:p>
    <w:p>
      <w:pPr>
        <w:pStyle w:val="ab"/>
      </w:pPr>
      <w:r>
        <w:t>发言人1 问：衡量债券部分有哪些关键指标？</w:t>
      </w:r>
    </w:p>
    <w:p>
      <w:r>
        <w:rPr>
          <w:rFonts w:ascii="等线(中文正文)" w:hAnsi="等线(中文正文)" w:cs="等线(中文正文)" w:eastAsia="等线(中文正文)"/>
          <w:b w:val="false"/>
          <w:i w:val="false"/>
          <w:sz w:val="20"/>
        </w:rPr>
        <w:t>发言人1 答：衡量债券部分有两个关键指标：一是存在溢价率，表示转债价格高于内在价值的程度，内在价值是按照市场利率折现票息和本金得到的理论价格下限；二是到期收益率（YTM），指的是持有转债至到期可以获得的收益率。目前市场上多数转债的YTM小于零，意味着当前价格高于其债券价值，若按到期回收处理，本息可能无法覆盖买入成本。</w:t>
      </w:r>
    </w:p>
    <w:p>
      <w:r>
        <w:rPr>
          <w:rFonts w:ascii="等线(中文正文)" w:hAnsi="等线(中文正文)" w:cs="等线(中文正文)" w:eastAsia="等线(中文正文)"/>
          <w:b w:val="false"/>
          <w:i w:val="false"/>
          <w:sz w:val="20"/>
        </w:rPr>
        <w:t/>
      </w:r>
    </w:p>
    <w:p>
      <w:pPr>
        <w:pStyle w:val="ab"/>
      </w:pPr>
      <w:r>
        <w:t>发言人1 问：转债区别于普通债券的核心条款有哪些？</w:t>
      </w:r>
    </w:p>
    <w:p>
      <w:r>
        <w:rPr>
          <w:rFonts w:ascii="等线(中文正文)" w:hAnsi="等线(中文正文)" w:cs="等线(中文正文)" w:eastAsia="等线(中文正文)"/>
          <w:b w:val="false"/>
          <w:i w:val="false"/>
          <w:sz w:val="20"/>
        </w:rPr>
        <w:t>发言人1 答：转债区别于普通债券的关键在于三大核心条款：赎回条款（强赎）、回售条款和下修条款。赎回条款（强赎）允许发行人，在满足股价或规模条件时，按照债券面值加上应计利息的价格赎回转债。回售条款则是在特定条件下，投资者有权将转债回售给发行人。下修条款是指当转债价格低于一定条件时，发行人的股票可以下调转债的转换价格，以促进转股。在实际操作中，强赎条款是最先可能触发的，而回售条款触发概率最低。</w:t>
      </w:r>
    </w:p>
    <w:p>
      <w:r>
        <w:rPr>
          <w:rFonts w:ascii="等线(中文正文)" w:hAnsi="等线(中文正文)" w:cs="等线(中文正文)" w:eastAsia="等线(中文正文)"/>
          <w:b w:val="false"/>
          <w:i w:val="false"/>
          <w:sz w:val="20"/>
        </w:rPr>
        <w:t/>
      </w:r>
    </w:p>
    <w:p>
      <w:pPr>
        <w:pStyle w:val="ab"/>
      </w:pPr>
      <w:r>
        <w:t>发言人1 问：强赎条款的具体触发条件是什么？</w:t>
      </w:r>
    </w:p>
    <w:p>
      <w:r>
        <w:rPr>
          <w:rFonts w:ascii="等线(中文正文)" w:hAnsi="等线(中文正文)" w:cs="等线(中文正文)" w:eastAsia="等线(中文正文)"/>
          <w:b w:val="false"/>
          <w:i w:val="false"/>
          <w:sz w:val="20"/>
        </w:rPr>
        <w:t>发言人1 答：强赎条款通常包括价格条件和规模条件。价格条件是指公司股票连续30个交易日中有至少10个交易日的收盘价不低于当期转股价格的130%。规模条件是指剩余未转股的转债金额不足3000万元。需要注意的是，强赎条款是发行人的权利而非义务，满足条件时发行人可以选择赎回或不赎回，但必须在规定时间内公告并严格执行。</w:t>
      </w:r>
    </w:p>
    <w:p>
      <w:r>
        <w:rPr>
          <w:rFonts w:ascii="等线(中文正文)" w:hAnsi="等线(中文正文)" w:cs="等线(中文正文)" w:eastAsia="等线(中文正文)"/>
          <w:b w:val="false"/>
          <w:i w:val="false"/>
          <w:sz w:val="20"/>
        </w:rPr>
        <w:t/>
      </w:r>
    </w:p>
    <w:p>
      <w:pPr>
        <w:pStyle w:val="ab"/>
      </w:pPr>
      <w:r>
        <w:t>发言人1 问：回收条款是什么，它在什么情况下会被触发？</w:t>
      </w:r>
    </w:p>
    <w:p>
      <w:r>
        <w:rPr>
          <w:rFonts w:ascii="等线(中文正文)" w:hAnsi="等线(中文正文)" w:cs="等线(中文正文)" w:eastAsia="等线(中文正文)"/>
          <w:b w:val="false"/>
          <w:i w:val="false"/>
          <w:sz w:val="20"/>
        </w:rPr>
        <w:t>发言人1 答：回收条款是赋予投资者在股价下跌环境中的一个兜底机制，当转债最后两个计息年度内，公司股票连续30个交易日的收盘价低于当期转股价格70%时，转债持有人有权按照面值加上当期应计利息回售给发行人。但需要注意的是，常规条件下的回收条款仅在最后两个计息年度生效，并且每年首次满足回售条件后只能行使一次回售权。</w:t>
      </w:r>
    </w:p>
    <w:p>
      <w:r>
        <w:rPr>
          <w:rFonts w:ascii="等线(中文正文)" w:hAnsi="等线(中文正文)" w:cs="等线(中文正文)" w:eastAsia="等线(中文正文)"/>
          <w:b w:val="false"/>
          <w:i w:val="false"/>
          <w:sz w:val="20"/>
        </w:rPr>
        <w:t/>
      </w:r>
    </w:p>
    <w:p>
      <w:pPr>
        <w:pStyle w:val="ab"/>
      </w:pPr>
      <w:r>
        <w:t>发言人1 问：回收条款对发行人和投资者而言是否为理想的退出路径？</w:t>
      </w:r>
    </w:p>
    <w:p>
      <w:r>
        <w:rPr>
          <w:rFonts w:ascii="等线(中文正文)" w:hAnsi="等线(中文正文)" w:cs="等线(中文正文)" w:eastAsia="等线(中文正文)"/>
          <w:b w:val="false"/>
          <w:i w:val="false"/>
          <w:sz w:val="20"/>
        </w:rPr>
        <w:t>发言人1 答：对于发行人来说，回收意味着短期内需拿出大量资金进行兑付，违背了发行转债以债转股避免还本的初衷，因此会尽量规避回收；而对于投资者而言，回收拿到的收益仅限于面值和少量利息，若正股后期反弹，则会错过转债估值上行的收益机会，所以回收更多是作为一种兜底保护机制而非主要盈利来源。</w:t>
      </w:r>
    </w:p>
    <w:p>
      <w:r>
        <w:rPr>
          <w:rFonts w:ascii="等线(中文正文)" w:hAnsi="等线(中文正文)" w:cs="等线(中文正文)" w:eastAsia="等线(中文正文)"/>
          <w:b w:val="false"/>
          <w:i w:val="false"/>
          <w:sz w:val="20"/>
        </w:rPr>
        <w:t/>
      </w:r>
    </w:p>
    <w:p>
      <w:pPr>
        <w:pStyle w:val="ab"/>
      </w:pPr>
      <w:r>
        <w:t>发言人1 问：下修条款是什么？它的触发条件和修正流程是怎样的？发行人为何会选择向下修正转股价？</w:t>
      </w:r>
    </w:p>
    <w:p>
      <w:r>
        <w:rPr>
          <w:rFonts w:ascii="等线(中文正文)" w:hAnsi="等线(中文正文)" w:cs="等线(中文正文)" w:eastAsia="等线(中文正文)"/>
          <w:b w:val="false"/>
          <w:i w:val="false"/>
          <w:sz w:val="20"/>
        </w:rPr>
        <w:t>发言人1 答：下修条款是指发行人有权向下调整转股价格。当公司股票在任意连续30个交易日中有至少15个交易日收盘价低于当期转股价格的80%时，董事会可以提议下修转股价，但该提议还需提交股东大会表决通过才能真正实施。下修流程包括提前披露提示性公告、董事会审议下修方案、股东大会投票决定是否下修等环节。发行人主要有三个动机来触发下修：一是规避回收压力，避免正股持续走弱导致股价逼近回收线时面临的高额现金兑付；二是为未来转股做铺垫，降低转股门槛以等待行业回暖时促使持有人转股减轻回赎压力；三是配合大股东实控人减持，通过释放下修利好信号修复转债估值，使大股东能在较好价格退出。</w:t>
      </w:r>
    </w:p>
    <w:p>
      <w:r>
        <w:rPr>
          <w:rFonts w:ascii="等线(中文正文)" w:hAnsi="等线(中文正文)" w:cs="等线(中文正文)" w:eastAsia="等线(中文正文)"/>
          <w:b w:val="false"/>
          <w:i w:val="false"/>
          <w:sz w:val="20"/>
        </w:rPr>
        <w:t/>
      </w:r>
    </w:p>
    <w:p>
      <w:pPr>
        <w:pStyle w:val="ab"/>
      </w:pPr>
      <w:r>
        <w:t>发言人1 问：国内可转债监管规则经历了哪些演变阶段？</w:t>
      </w:r>
    </w:p>
    <w:p>
      <w:r>
        <w:rPr>
          <w:rFonts w:ascii="等线(中文正文)" w:hAnsi="等线(中文正文)" w:cs="等线(中文正文)" w:eastAsia="等线(中文正文)"/>
          <w:b w:val="false"/>
          <w:i w:val="false"/>
          <w:sz w:val="20"/>
        </w:rPr>
        <w:t>发言人1 答：国内转债监管经历了三个阶段：第一阶段为90年代至2005年，处于探索起步阶段，制度不完善；第二阶段为2006年至2019年，转债正式纳入再融资监管框架，创业板转债制度落地，信用申购制度推出使得转债供给大幅增加；第三阶段为2020年至今，转债监管进一步精细化，交易所出台了专门的监管管理办法和配套指引，对发行、上市、交易及存续期全流程进行了明确的规则约束。</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