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宝尊电商[BZUN.O]2026年第二季度业绩交流会 260827_导读</w:t>
      </w:r>
    </w:p>
    <w:p>
      <w:pPr>
        <w:pStyle w:val="a0"/>
        <w:jc w:val="center"/>
      </w:pPr>
      <w:r>
        <w:t>2026年08月27日 22:07</w:t>
      </w:r>
    </w:p>
    <w:p>
      <w:pPr>
        <w:pStyle w:val="a7"/>
      </w:pPr>
      <w:r>
        <w:t>关键词</w:t>
      </w:r>
    </w:p>
    <w:p>
      <w:r>
        <w:rPr>
          <w:rFonts w:ascii="等线(中文正文)" w:hAnsi="等线(中文正文)" w:cs="等线(中文正文)" w:eastAsia="等线(中文正文)"/>
          <w:b w:val="false"/>
          <w:i w:val="false"/>
          <w:sz w:val="20"/>
        </w:rPr>
        <w:t xml:space="preserve">gap Operating quarter product sales Operating profit brand management gross margin BBM organic brand partners DBM revenue grew store strategy strong focus 关注公众号 answer session improve productivity sales business business opportunities consumer engagement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在2026年第二季度的收益电话会议中，千禧公司报告了强劲的业务和财务增长，集团收入增长了7%，达到27亿，非GAAP运营收入增长了25%，达到7400万。公司通过有效的电子商务和品牌管理策略，以及提升消费者参与度，实现了收入和盈利的双重增长。首席执行官特别强调了在技术创新和人工智能（AI）应用方面的进展，公司上调了非GAAP运营利润目标，反映了对长期增长潜力的信心。首席财务官则分析了总收入增长、毛利率的提高以及成本控制的加强。BBM业务积极进展，包括对新兴品牌的投资和市场扩张策略。在问答环节，公司对AI和自动化工具的积极预期表示了关注，强调了对新市场的探索和品牌策略的更新，特别是对中国市场策略的调整。</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千公司2026年第二季度财报电话会议</w:t>
      </w:r>
    </w:p>
    <w:p>
      <w:r>
        <w:rPr>
          <w:rFonts w:ascii="等线(中文正文)" w:hAnsi="等线(中文正文)" w:cs="等线(中文正文)" w:eastAsia="等线(中文正文)"/>
          <w:b w:val="false"/>
          <w:i w:val="false"/>
          <w:sz w:val="20"/>
        </w:rPr>
        <w:t>本次会议讨论了千公司2026年第二季度的财务表现与业务亮点，包括战略规划、经济状况及品牌管理。管理层回顾了业绩，并进行了前瞻性陈述，提醒投资者注意潜在风险与不确定性。</w:t>
      </w:r>
    </w:p>
    <w:p>
      <w:r>
        <w:rPr>
          <w:rFonts w:ascii="等线(中文正文)" w:hAnsi="等线(中文正文)" w:cs="等线(中文正文)" w:eastAsia="等线(中文正文)"/>
          <w:b w:val="false"/>
          <w:i w:val="false"/>
          <w:sz w:val="20"/>
        </w:rPr>
        <w:t/>
      </w:r>
    </w:p>
    <w:p>
      <w:pPr>
        <w:pStyle w:val="ab"/>
        <w:numPr>
          <w:numId w:val="2"/>
        </w:numPr>
      </w:pPr>
      <w:r>
        <w:t>03:44 公司业绩增长与战略转型成果</w:t>
      </w:r>
    </w:p>
    <w:p>
      <w:r>
        <w:rPr>
          <w:rFonts w:ascii="等线(中文正文)" w:hAnsi="等线(中文正文)" w:cs="等线(中文正文)" w:eastAsia="等线(中文正文)"/>
          <w:b w:val="false"/>
          <w:i w:val="false"/>
          <w:sz w:val="20"/>
        </w:rPr>
        <w:t>公司在竞争激烈的市场中展现出强劲的增长势头，B2B与B2C业务均取得显著成绩，B2C业务实现五年来的首次营收增长，同时提高了运营效率和盈利能力。B2B业务则实现了22%的同比增长，得益于有效的MMC计划和消费者参与度提升。公司还强调了AI与自动化在电子商务运营中的应用，预示着未来技术驱动的增长潜力。基于过去三年的战略转型成果，公司上调了2028年的非GAAP营业利润目标至7亿美元，展现了对长期增长的信心。</w:t>
      </w:r>
    </w:p>
    <w:p>
      <w:r>
        <w:rPr>
          <w:rFonts w:ascii="等线(中文正文)" w:hAnsi="等线(中文正文)" w:cs="等线(中文正文)" w:eastAsia="等线(中文正文)"/>
          <w:b w:val="false"/>
          <w:i w:val="false"/>
          <w:sz w:val="20"/>
        </w:rPr>
        <w:t/>
      </w:r>
    </w:p>
    <w:p>
      <w:pPr>
        <w:pStyle w:val="ab"/>
        <w:numPr>
          <w:numId w:val="3"/>
        </w:numPr>
      </w:pPr>
      <w:r>
        <w:t>07:47 2026年第二季度财务业绩报告</w:t>
      </w:r>
    </w:p>
    <w:p>
      <w:r>
        <w:rPr>
          <w:rFonts w:ascii="等线(中文正文)" w:hAnsi="等线(中文正文)" w:cs="等线(中文正文)" w:eastAsia="等线(中文正文)"/>
          <w:b w:val="false"/>
          <w:i w:val="false"/>
          <w:sz w:val="20"/>
        </w:rPr>
        <w:t>报告概述了2026年第二季度财务表现，总净收入同比增长7%至27亿元，其中电子商务收入增长5%至23亿元，品牌管理收入增长22%至4.86亿元。产品销售毛利润同比增长21.3%至3.43亿元，毛利率提升4.95个百分点至33%。运营成本和营销费用有所增加，但通过成本控制和技术支出优化，净利润显著改善，达到7400万元。此外，运营资金周转天数从148天缩短至107天，现金及现金等价物总额达29亿元。</w:t>
      </w:r>
    </w:p>
    <w:p>
      <w:r>
        <w:rPr>
          <w:rFonts w:ascii="等线(中文正文)" w:hAnsi="等线(中文正文)" w:cs="等线(中文正文)" w:eastAsia="等线(中文正文)"/>
          <w:b w:val="false"/>
          <w:i w:val="false"/>
          <w:sz w:val="20"/>
        </w:rPr>
        <w:t/>
      </w:r>
    </w:p>
    <w:p>
      <w:pPr>
        <w:pStyle w:val="ab"/>
        <w:numPr>
          <w:numId w:val="4"/>
        </w:numPr>
      </w:pPr>
      <w:r>
        <w:t>12:54 业务增长与财务表现：BEC与BBM的策略与成果</w:t>
      </w:r>
    </w:p>
    <w:p>
      <w:r>
        <w:rPr>
          <w:rFonts w:ascii="等线(中文正文)" w:hAnsi="等线(中文正文)" w:cs="等线(中文正文)" w:eastAsia="等线(中文正文)"/>
          <w:b w:val="false"/>
          <w:i w:val="false"/>
          <w:sz w:val="20"/>
        </w:rPr>
        <w:t>对话强调了BEC与BBM在业务增长与财务表现上的策略与成果，BEC通过优化服务模型、增强消费者参与度、调整产品销售策略等措施，实现了服务收入的显著增长和运营效率的提升；BBM则通过强化品牌管理、优化产品组合、加强营销活动和拓展门店网络，实现了收入的显著增长和毛利率的扩大，两者均展现了良好的财务表现和战略执行效果。</w:t>
      </w:r>
    </w:p>
    <w:p>
      <w:r>
        <w:rPr>
          <w:rFonts w:ascii="等线(中文正文)" w:hAnsi="等线(中文正文)" w:cs="等线(中文正文)" w:eastAsia="等线(中文正文)"/>
          <w:b w:val="false"/>
          <w:i w:val="false"/>
          <w:sz w:val="20"/>
        </w:rPr>
        <w:t/>
      </w:r>
    </w:p>
    <w:p>
      <w:pPr>
        <w:pStyle w:val="ab"/>
        <w:numPr>
          <w:numId w:val="5"/>
        </w:numPr>
      </w:pPr>
      <w:r>
        <w:t>22:34 公司展望2028年收入目标及AI工具影响</w:t>
      </w:r>
    </w:p>
    <w:p>
      <w:r>
        <w:rPr>
          <w:rFonts w:ascii="等线(中文正文)" w:hAnsi="等线(中文正文)" w:cs="等线(中文正文)" w:eastAsia="等线(中文正文)"/>
          <w:b w:val="false"/>
          <w:i w:val="false"/>
          <w:sz w:val="20"/>
        </w:rPr>
        <w:t>对话讨论了公司对2028年收入目标的信心来源，包括BBM趋势增强和AI工具的应用。尽管消费趋势疲软，公司仍对通过AI工具提升运营效率持乐观态度。此外，未观察到品牌合作伙伴预算显著变化，但品牌正转向内容驱动和轻量级平台，AI工具主要应用于提升效率而非直接推动营收增长。</w:t>
      </w:r>
    </w:p>
    <w:p>
      <w:r>
        <w:rPr>
          <w:rFonts w:ascii="等线(中文正文)" w:hAnsi="等线(中文正文)" w:cs="等线(中文正文)" w:eastAsia="等线(中文正文)"/>
          <w:b w:val="false"/>
          <w:i w:val="false"/>
          <w:sz w:val="20"/>
        </w:rPr>
        <w:t/>
      </w:r>
    </w:p>
    <w:p>
      <w:pPr>
        <w:pStyle w:val="ab"/>
        <w:numPr>
          <w:numId w:val="6"/>
        </w:numPr>
      </w:pPr>
      <w:r>
        <w:t>28:04 品牌管理与市场策略讨论</w:t>
      </w:r>
    </w:p>
    <w:p>
      <w:r>
        <w:rPr>
          <w:rFonts w:ascii="等线(中文正文)" w:hAnsi="等线(中文正文)" w:cs="等线(中文正文)" w:eastAsia="等线(中文正文)"/>
          <w:b w:val="false"/>
          <w:i w:val="false"/>
          <w:sz w:val="20"/>
        </w:rPr>
        <w:t>对话围绕品牌管理、市场策略及新兴品牌机遇展开。管理层分享了对DTC策略的支持、新兴品牌如Hunter的增长策略，以及品牌管理业务在市场趋势下的机会与优势。强调了AI技术、BC与DBM的协同效应、品牌有机增长及新机会探索的重要性，展现了对达成未来目标的信心。</w:t>
      </w:r>
    </w:p>
    <w:p>
      <w:r>
        <w:rPr>
          <w:rFonts w:ascii="等线(中文正文)" w:hAnsi="等线(中文正文)" w:cs="等线(中文正文)" w:eastAsia="等线(中文正文)"/>
          <w:b w:val="false"/>
          <w:i w:val="false"/>
          <w:sz w:val="20"/>
        </w:rPr>
        <w:t/>
      </w:r>
    </w:p>
    <w:p>
      <w:pPr>
        <w:pStyle w:val="ab"/>
        <w:numPr>
          <w:numId w:val="7"/>
        </w:numPr>
      </w:pPr>
      <w:r>
        <w:t>35:54 AI技术在电商领域的应用与行业影响</w:t>
      </w:r>
    </w:p>
    <w:p>
      <w:r>
        <w:rPr>
          <w:rFonts w:ascii="等线(中文正文)" w:hAnsi="等线(中文正文)" w:cs="等线(中文正文)" w:eastAsia="等线(中文正文)"/>
          <w:b w:val="false"/>
          <w:i w:val="false"/>
          <w:sz w:val="20"/>
        </w:rPr>
        <w:t>对话讨论了AI技术在电商行业的应用，强调了技术投资对于业务成功的重要性。发言者指出，通过持续投资IT资源，公司已在AI领域取得领导地位，利用AI提升运营效率和销售增长，同时拉大与竞争对手的差距。未来，公司将专注于AI数据分析、自动化及消费者行为研究，以进一步巩固市场地位。</w:t>
      </w:r>
    </w:p>
    <w:p>
      <w:r>
        <w:rPr>
          <w:rFonts w:ascii="等线(中文正文)" w:hAnsi="等线(中文正文)" w:cs="等线(中文正文)" w:eastAsia="等线(中文正文)"/>
          <w:b w:val="false"/>
          <w:i w:val="false"/>
          <w:sz w:val="20"/>
        </w:rPr>
        <w:t/>
      </w:r>
    </w:p>
    <w:p>
      <w:pPr>
        <w:pStyle w:val="ab"/>
        <w:numPr>
          <w:numId w:val="8"/>
        </w:numPr>
      </w:pPr>
      <w:r>
        <w:t>38:42 零售企业EBITDA与销售增长策略分析</w:t>
      </w:r>
    </w:p>
    <w:p>
      <w:r>
        <w:rPr>
          <w:rFonts w:ascii="等线(中文正文)" w:hAnsi="等线(中文正文)" w:cs="等线(中文正文)" w:eastAsia="等线(中文正文)"/>
          <w:b w:val="false"/>
          <w:i w:val="false"/>
          <w:sz w:val="20"/>
        </w:rPr>
        <w:t>对话讨论了零售企业在第二季度EBITDA增长22%及双位数同比增长的表现，归功于商品管理、市场营销和渠道扩张策略的成功实施。公司计划今年开设50家新店，并在电商、直播平台和高端奢侈品、运动、时尚及健康护理领域持续增长。尽管7月NBS数据显示消费疲软，但企业未观察到销售趋势显著变化，预计双十一期间电商表现强劲。</w:t>
      </w:r>
    </w:p>
    <w:p>
      <w:r>
        <w:rPr>
          <w:rFonts w:ascii="等线(中文正文)" w:hAnsi="等线(中文正文)" w:cs="等线(中文正文)" w:eastAsia="等线(中文正文)"/>
          <w:b w:val="false"/>
          <w:i w:val="false"/>
          <w:sz w:val="20"/>
        </w:rPr>
        <w:t/>
      </w:r>
    </w:p>
    <w:p>
      <w:pPr>
        <w:pStyle w:val="a7"/>
      </w:pPr>
      <w:r>
        <w:t>发言总结</w:t>
      </w:r>
    </w:p>
    <w:p>
      <w:pPr>
        <w:pStyle w:val="ab"/>
        <w:numPr>
          <w:numId w:val="9"/>
        </w:numPr>
      </w:pPr>
      <w:r>
        <w:t>发言人1</w:t>
      </w:r>
    </w:p>
    <w:p>
      <w:r>
        <w:rPr>
          <w:rFonts w:ascii="等线(中文正文)" w:hAnsi="等线(中文正文)" w:cs="等线(中文正文)" w:eastAsia="等线(中文正文)"/>
          <w:b w:val="false"/>
          <w:i w:val="false"/>
          <w:sz w:val="20"/>
        </w:rPr>
        <w:t>他在关于千禧公司第二季度2026年财务报告的电话会议中，首先对听众表示感谢并介绍了会议流程，包括管理层发言及问答环节。他提醒大家会议录音已记录，并介绍了参与高管。他重点概述了公司业务战略、财务表现及电商、品牌管理进展，特别强调了技术创新与人工智能的采用对公司财务的正面影响。他表达了对公司未来增长的信心，并对与会者提问表示期待。同时，他提及公司对市场变化的适应性和遵守法律的承诺。</w:t>
      </w:r>
    </w:p>
    <w:p>
      <w:r>
        <w:rPr>
          <w:rFonts w:ascii="等线(中文正文)" w:hAnsi="等线(中文正文)" w:cs="等线(中文正文)" w:eastAsia="等线(中文正文)"/>
          <w:b w:val="false"/>
          <w:i w:val="false"/>
          <w:sz w:val="20"/>
        </w:rPr>
        <w:t/>
      </w:r>
    </w:p>
    <w:p>
      <w:pPr>
        <w:pStyle w:val="a7"/>
      </w:pPr>
      <w:r>
        <w:t>要点回顾</w:t>
      </w:r>
    </w:p>
    <w:p>
      <w:pPr>
        <w:pStyle w:val="ab"/>
      </w:pPr>
      <w:r>
        <w:t>What were the financial highlights of the second quarter for the company?</w:t>
      </w:r>
    </w:p>
    <w:p>
      <w:r>
        <w:rPr>
          <w:rFonts w:ascii="等线(中文正文)" w:hAnsi="等线(中文正文)" w:cs="等线(中文正文)" w:eastAsia="等线(中文正文)"/>
          <w:b w:val="false"/>
          <w:i w:val="false"/>
          <w:sz w:val="20"/>
        </w:rPr>
        <w:t>发言人1：The company reported group revenue growth of 7% to $2.7 billion and non-GAAP operating income of $74 million for the second quarter. This represents an over-year improvement of 25% compared to adjusted base operating income of $59 million in the same period last year.</w:t>
      </w:r>
    </w:p>
    <w:p>
      <w:r>
        <w:rPr>
          <w:rFonts w:ascii="等线(中文正文)" w:hAnsi="等线(中文正文)" w:cs="等线(中文正文)" w:eastAsia="等线(中文正文)"/>
          <w:b w:val="false"/>
          <w:i w:val="false"/>
          <w:sz w:val="20"/>
        </w:rPr>
        <w:t/>
      </w:r>
    </w:p>
    <w:p>
      <w:pPr>
        <w:pStyle w:val="ab"/>
      </w:pPr>
      <w:r>
        <w:t>What specific segments contributed to the company's strong financial performance?</w:t>
      </w:r>
    </w:p>
    <w:p>
      <w:r>
        <w:rPr>
          <w:rFonts w:ascii="等线(中文正文)" w:hAnsi="等线(中文正文)" w:cs="等线(中文正文)" w:eastAsia="等线(中文正文)"/>
          <w:b w:val="false"/>
          <w:i w:val="false"/>
          <w:sz w:val="20"/>
        </w:rPr>
        <w:t>发言人1：Both B2B and B2C segments contributed to the company's solid financial results, demonstrating the strength and resilience of the business in a competitive market.</w:t>
      </w:r>
    </w:p>
    <w:p>
      <w:r>
        <w:rPr>
          <w:rFonts w:ascii="等线(中文正文)" w:hAnsi="等线(中文正文)" w:cs="等线(中文正文)" w:eastAsia="等线(中文正文)"/>
          <w:b w:val="false"/>
          <w:i w:val="false"/>
          <w:sz w:val="20"/>
        </w:rPr>
        <w:t/>
      </w:r>
    </w:p>
    <w:p>
      <w:pPr>
        <w:pStyle w:val="ab"/>
      </w:pPr>
      <w:r>
        <w:t>How did the B2C segment perform and what factors contributed to its success?</w:t>
      </w:r>
    </w:p>
    <w:p>
      <w:r>
        <w:rPr>
          <w:rFonts w:ascii="等线(中文正文)" w:hAnsi="等线(中文正文)" w:cs="等线(中文正文)" w:eastAsia="等线(中文正文)"/>
          <w:b w:val="false"/>
          <w:i w:val="false"/>
          <w:sz w:val="20"/>
        </w:rPr>
        <w:t>发言人1：The B2C segment achieved a resilient 5% year-over-year revenue growth, improved efficiency and profitability, and expanded its non-GAAP operating profit margin despite a weak e-commerce industry backdrop.</w:t>
      </w:r>
    </w:p>
    <w:p>
      <w:r>
        <w:rPr>
          <w:rFonts w:ascii="等线(中文正文)" w:hAnsi="等线(中文正文)" w:cs="等线(中文正文)" w:eastAsia="等线(中文正文)"/>
          <w:b w:val="false"/>
          <w:i w:val="false"/>
          <w:sz w:val="20"/>
        </w:rPr>
        <w:t/>
      </w:r>
    </w:p>
    <w:p>
      <w:pPr>
        <w:pStyle w:val="ab"/>
      </w:pPr>
      <w:r>
        <w:t>What strategic initiatives have been instrumental in the company's approach to value creation?</w:t>
      </w:r>
    </w:p>
    <w:p>
      <w:r>
        <w:rPr>
          <w:rFonts w:ascii="等线(中文正文)" w:hAnsi="等线(中文正文)" w:cs="等线(中文正文)" w:eastAsia="等线(中文正文)"/>
          <w:b w:val="false"/>
          <w:i w:val="false"/>
          <w:sz w:val="20"/>
        </w:rPr>
        <w:t>发言人1：Strategic partnerships and a deep understanding of brand know-how have been crucial in understanding market changes, consumer behaviors, and leveraging brands to engage with partners and create value.</w:t>
      </w:r>
    </w:p>
    <w:p>
      <w:r>
        <w:rPr>
          <w:rFonts w:ascii="等线(中文正文)" w:hAnsi="等线(中文正文)" w:cs="等线(中文正文)" w:eastAsia="等线(中文正文)"/>
          <w:b w:val="false"/>
          <w:i w:val="false"/>
          <w:sz w:val="20"/>
        </w:rPr>
        <w:t/>
      </w:r>
    </w:p>
    <w:p>
      <w:pPr>
        <w:pStyle w:val="ab"/>
      </w:pPr>
      <w:r>
        <w:t>What recent advancements have been made in technology innovation and automation?</w:t>
      </w:r>
    </w:p>
    <w:p>
      <w:r>
        <w:rPr>
          <w:rFonts w:ascii="等线(中文正文)" w:hAnsi="等线(中文正文)" w:cs="等线(中文正文)" w:eastAsia="等线(中文正文)"/>
          <w:b w:val="false"/>
          <w:i w:val="false"/>
          <w:sz w:val="20"/>
        </w:rPr>
        <w:t>发言人1：The company has started piloting AI and automation initiatives within its B2C e-commerce operations, which have demonstrated substantial productivity gains and the potential to extend these capabilities across the broader B2C ecosystem.</w:t>
      </w:r>
    </w:p>
    <w:p>
      <w:r>
        <w:rPr>
          <w:rFonts w:ascii="等线(中文正文)" w:hAnsi="等线(中文正文)" w:cs="等线(中文正文)" w:eastAsia="等线(中文正文)"/>
          <w:b w:val="false"/>
          <w:i w:val="false"/>
          <w:sz w:val="20"/>
        </w:rPr>
        <w:t/>
      </w:r>
    </w:p>
    <w:p>
      <w:pPr>
        <w:pStyle w:val="ab"/>
      </w:pPr>
      <w:r>
        <w:t>How has the company's strategic transformation laid a foundation for future growth?</w:t>
      </w:r>
    </w:p>
    <w:p>
      <w:r>
        <w:rPr>
          <w:rFonts w:ascii="等线(中文正文)" w:hAnsi="等线(中文正文)" w:cs="等线(中文正文)" w:eastAsia="等线(中文正文)"/>
          <w:b w:val="false"/>
          <w:i w:val="false"/>
          <w:sz w:val="20"/>
        </w:rPr>
        <w:t>发言人1：The company's strategic transformation over the past three years has established a strong foundation for a more flexible and scalable business model, leveraging AI and an established technology infrastructure.</w:t>
      </w:r>
    </w:p>
    <w:p>
      <w:r>
        <w:rPr>
          <w:rFonts w:ascii="等线(中文正文)" w:hAnsi="等线(中文正文)" w:cs="等线(中文正文)" w:eastAsia="等线(中文正文)"/>
          <w:b w:val="false"/>
          <w:i w:val="false"/>
          <w:sz w:val="20"/>
        </w:rPr>
        <w:t/>
      </w:r>
    </w:p>
    <w:p>
      <w:pPr>
        <w:pStyle w:val="ab"/>
      </w:pPr>
      <w:r>
        <w:t>What is the updated non-GAAP operating profit target for 2028?</w:t>
      </w:r>
    </w:p>
    <w:p>
      <w:r>
        <w:rPr>
          <w:rFonts w:ascii="等线(中文正文)" w:hAnsi="等线(中文正文)" w:cs="等线(中文正文)" w:eastAsia="等线(中文正文)"/>
          <w:b w:val="false"/>
          <w:i w:val="false"/>
          <w:sz w:val="20"/>
        </w:rPr>
        <w:t>发言人1：The non-GAAP operating profit target for 2028 has been raised from $550 million to $700 million, reflecting increased confidence in the long-term growth potential.</w:t>
      </w:r>
    </w:p>
    <w:p>
      <w:r>
        <w:rPr>
          <w:rFonts w:ascii="等线(中文正文)" w:hAnsi="等线(中文正文)" w:cs="等线(中文正文)" w:eastAsia="等线(中文正文)"/>
          <w:b w:val="false"/>
          <w:i w:val="false"/>
          <w:sz w:val="20"/>
        </w:rPr>
        <w:t/>
      </w:r>
    </w:p>
    <w:p>
      <w:pPr>
        <w:pStyle w:val="ab"/>
      </w:pPr>
      <w:r>
        <w:t>What were the detailed financial results for the second quarter mentioned in the transcript?</w:t>
      </w:r>
    </w:p>
    <w:p>
      <w:r>
        <w:rPr>
          <w:rFonts w:ascii="等线(中文正文)" w:hAnsi="等线(中文正文)" w:cs="等线(中文正文)" w:eastAsia="等线(中文正文)"/>
          <w:b w:val="false"/>
          <w:i w:val="false"/>
          <w:sz w:val="20"/>
        </w:rPr>
        <w:t>发言人1：Detailed financial results include a 7% year-over-year increase in group's total net revenues to $2.7 billion, with e-commerce revenue growing by 5% and brand management revenue growing by 22% to $486 million. Services revenue increased by 10% to $1.8 billion, while B2C product sales revenue decreased by 10% to $541 million. Gross profit for product sales increased by 21.3% year over year to $343 million, with a group-level blended gross margin for product sales at 33%, representing an expansion of 499 basis points year over year.</w:t>
      </w:r>
    </w:p>
    <w:p>
      <w:r>
        <w:rPr>
          <w:rFonts w:ascii="等线(中文正文)" w:hAnsi="等线(中文正文)" w:cs="等线(中文正文)" w:eastAsia="等线(中文正文)"/>
          <w:b w:val="false"/>
          <w:i w:val="false"/>
          <w:sz w:val="20"/>
        </w:rPr>
        <w:t/>
      </w:r>
    </w:p>
    <w:p>
      <w:pPr>
        <w:pStyle w:val="ab"/>
      </w:pPr>
      <w:r>
        <w:t>What is the significance of the non-GAAP income from Operations in the second quarter?</w:t>
      </w:r>
    </w:p>
    <w:p>
      <w:r>
        <w:rPr>
          <w:rFonts w:ascii="等线(中文正文)" w:hAnsi="等线(中文正文)" w:cs="等线(中文正文)" w:eastAsia="等线(中文正文)"/>
          <w:b w:val="false"/>
          <w:i w:val="false"/>
          <w:sz w:val="20"/>
        </w:rPr>
        <w:t>发言人1：The non-GAAP income from Operations in the second quarter was significant as it reached $107 million, a record level since 2022, when adjusted for a one-time right dog cost.</w:t>
      </w:r>
    </w:p>
    <w:p>
      <w:r>
        <w:rPr>
          <w:rFonts w:ascii="等线(中文正文)" w:hAnsi="等线(中文正文)" w:cs="等线(中文正文)" w:eastAsia="等线(中文正文)"/>
          <w:b w:val="false"/>
          <w:i w:val="false"/>
          <w:sz w:val="20"/>
        </w:rPr>
        <w:t/>
      </w:r>
    </w:p>
    <w:p>
      <w:pPr>
        <w:pStyle w:val="ab"/>
      </w:pPr>
      <w:r>
        <w:t>How did the company's working capital improve over the past year?</w:t>
      </w:r>
    </w:p>
    <w:p>
      <w:r>
        <w:rPr>
          <w:rFonts w:ascii="等线(中文正文)" w:hAnsi="等线(中文正文)" w:cs="等线(中文正文)" w:eastAsia="等线(中文正文)"/>
          <w:b w:val="false"/>
          <w:i w:val="false"/>
          <w:sz w:val="20"/>
        </w:rPr>
        <w:t>发言人1：The working capital improved by 29 days to 112 days from 134 days a year ago, which is attributed to both the VC and medium segments as of Q2 2026.</w:t>
      </w:r>
    </w:p>
    <w:p>
      <w:r>
        <w:rPr>
          <w:rFonts w:ascii="等线(中文正文)" w:hAnsi="等线(中文正文)" w:cs="等线(中文正文)" w:eastAsia="等线(中文正文)"/>
          <w:b w:val="false"/>
          <w:i w:val="false"/>
          <w:sz w:val="20"/>
        </w:rPr>
        <w:t/>
      </w:r>
    </w:p>
    <w:p>
      <w:pPr>
        <w:pStyle w:val="ab"/>
      </w:pPr>
      <w:r>
        <w:t>What was the impact of the company's focus on quality of growth and high value results?</w:t>
      </w:r>
    </w:p>
    <w:p>
      <w:r>
        <w:rPr>
          <w:rFonts w:ascii="等线(中文正文)" w:hAnsi="等线(中文正文)" w:cs="等线(中文正文)" w:eastAsia="等线(中文正文)"/>
          <w:b w:val="false"/>
          <w:i w:val="false"/>
          <w:sz w:val="20"/>
        </w:rPr>
        <w:t>发言人1：The focus on quality of growth and delivering high value results for the B2C, B2B2C, and B2B segments resulted in a 5% year-over-year revenue growth for the B2C segment and a significant increase in operating income, highlighting an improvement in financial performance and successful execution of the strategy.</w:t>
      </w:r>
    </w:p>
    <w:p>
      <w:r>
        <w:rPr>
          <w:rFonts w:ascii="等线(中文正文)" w:hAnsi="等线(中文正文)" w:cs="等线(中文正文)" w:eastAsia="等线(中文正文)"/>
          <w:b w:val="false"/>
          <w:i w:val="false"/>
          <w:sz w:val="20"/>
        </w:rPr>
        <w:t/>
      </w:r>
    </w:p>
    <w:p>
      <w:pPr>
        <w:pStyle w:val="ab"/>
      </w:pPr>
      <w:r>
        <w:t>What has been the performance and strategy of the B2B2C and B2B segments?</w:t>
      </w:r>
    </w:p>
    <w:p>
      <w:r>
        <w:rPr>
          <w:rFonts w:ascii="等线(中文正文)" w:hAnsi="等线(中文正文)" w:cs="等线(中文正文)" w:eastAsia="等线(中文正文)"/>
          <w:b w:val="false"/>
          <w:i w:val="false"/>
          <w:sz w:val="20"/>
        </w:rPr>
        <w:t>发言人1：The B2B2C segment saw revenue growth of 5% year over year with an operating income of $107 million, marking the highest second-quarter level since 2022. The B2C segment experienced a strong top line growth driven by improved access to key operational matrices and other factors.</w:t>
      </w:r>
    </w:p>
    <w:p>
      <w:r>
        <w:rPr>
          <w:rFonts w:ascii="等线(中文正文)" w:hAnsi="等线(中文正文)" w:cs="等线(中文正文)" w:eastAsia="等线(中文正文)"/>
          <w:b w:val="false"/>
          <w:i w:val="false"/>
          <w:sz w:val="20"/>
        </w:rPr>
        <w:t/>
      </w:r>
    </w:p>
    <w:p>
      <w:pPr>
        <w:pStyle w:val="ab"/>
      </w:pPr>
      <w:r>
        <w:t>What events and strategies have contributed to the company's consumer engagement and brand value?</w:t>
      </w:r>
    </w:p>
    <w:p>
      <w:r>
        <w:rPr>
          <w:rFonts w:ascii="等线(中文正文)" w:hAnsi="等线(中文正文)" w:cs="等线(中文正文)" w:eastAsia="等线(中文正文)"/>
          <w:b w:val="false"/>
          <w:i w:val="false"/>
          <w:sz w:val="20"/>
        </w:rPr>
        <w:t>发言人1：The company's consumer engagement and brand value were enhanced through content creation, digital marketing initiatives, events such as the large-scale light workers event for one of their sportswear brand partners, and being awarded the doing e-commerce Diamond Service Provider certification.</w:t>
      </w:r>
    </w:p>
    <w:p>
      <w:r>
        <w:rPr>
          <w:rFonts w:ascii="等线(中文正文)" w:hAnsi="等线(中文正文)" w:cs="等线(中文正文)" w:eastAsia="等线(中文正文)"/>
          <w:b w:val="false"/>
          <w:i w:val="false"/>
          <w:sz w:val="20"/>
        </w:rPr>
        <w:t/>
      </w:r>
    </w:p>
    <w:p>
      <w:pPr>
        <w:pStyle w:val="ab"/>
      </w:pPr>
      <w:r>
        <w:t>What is the company's strategy for product sales and profitability?</w:t>
      </w:r>
    </w:p>
    <w:p>
      <w:r>
        <w:rPr>
          <w:rFonts w:ascii="等线(中文正文)" w:hAnsi="等线(中文正文)" w:cs="等线(中文正文)" w:eastAsia="等线(中文正文)"/>
          <w:b w:val="false"/>
          <w:i w:val="false"/>
          <w:sz w:val="20"/>
        </w:rPr>
        <w:t>发言人1：The company's strategy for product sales is to scale back participation in categories with intense price competition and lower margins, leading to a 10% year-over-year decline in product sales for the quarter. For profitability, the company aims to drive greater operating leverage through disciplined cost management and structural efficiency improvements.</w:t>
      </w:r>
    </w:p>
    <w:p>
      <w:r>
        <w:rPr>
          <w:rFonts w:ascii="等线(中文正文)" w:hAnsi="等线(中文正文)" w:cs="等线(中文正文)" w:eastAsia="等线(中文正文)"/>
          <w:b w:val="false"/>
          <w:i w:val="false"/>
          <w:sz w:val="20"/>
        </w:rPr>
        <w:t/>
      </w:r>
    </w:p>
    <w:p>
      <w:pPr>
        <w:pStyle w:val="ab"/>
      </w:pPr>
      <w:r>
        <w:t>What are the competitive advantages of the brand manager model?</w:t>
      </w:r>
    </w:p>
    <w:p>
      <w:r>
        <w:rPr>
          <w:rFonts w:ascii="等线(中文正文)" w:hAnsi="等线(中文正文)" w:cs="等线(中文正文)" w:eastAsia="等线(中文正文)"/>
          <w:b w:val="false"/>
          <w:i w:val="false"/>
          <w:sz w:val="20"/>
        </w:rPr>
        <w:t>发言人1：The brand manager model leverages global brand capabilities with local operating ones, enabling faster product development, more effective localization of associations, execution of integrated marketing campaigns, and quicker responses to consumer demand, resulting in a gross margin expansion.</w:t>
      </w:r>
    </w:p>
    <w:p>
      <w:r>
        <w:rPr>
          <w:rFonts w:ascii="等线(中文正文)" w:hAnsi="等线(中文正文)" w:cs="等线(中文正文)" w:eastAsia="等线(中文正文)"/>
          <w:b w:val="false"/>
          <w:i w:val="false"/>
          <w:sz w:val="20"/>
        </w:rPr>
        <w:t/>
      </w:r>
    </w:p>
    <w:p>
      <w:pPr>
        <w:pStyle w:val="ab"/>
      </w:pPr>
      <w:r>
        <w:t>What are the merchandising, marketing, and channel strategies for the quarter?</w:t>
      </w:r>
    </w:p>
    <w:p>
      <w:r>
        <w:rPr>
          <w:rFonts w:ascii="等线(中文正文)" w:hAnsi="等线(中文正文)" w:cs="等线(中文正文)" w:eastAsia="等线(中文正文)"/>
          <w:b w:val="false"/>
          <w:i w:val="false"/>
          <w:sz w:val="20"/>
        </w:rPr>
        <w:t>发言人1：The merchandising strategy was to optimize product experiments and leverage data-driven insights to meet consumer demand and drive sales. Marketing efforts focused on building strong brand equity and customer loyalty with campaigns and partnerships. The channel strategy included improving the digital marketing and leveraging the company's channel capabilities for stronger performance.</w:t>
      </w:r>
    </w:p>
    <w:p>
      <w:r>
        <w:rPr>
          <w:rFonts w:ascii="等线(中文正文)" w:hAnsi="等线(中文正文)" w:cs="等线(中文正文)" w:eastAsia="等线(中文正文)"/>
          <w:b w:val="false"/>
          <w:i w:val="false"/>
          <w:sz w:val="20"/>
        </w:rPr>
        <w:t/>
      </w:r>
    </w:p>
    <w:p>
      <w:pPr>
        <w:pStyle w:val="ab"/>
      </w:pPr>
      <w:r>
        <w:t>What is the progress in store network expansion?</w:t>
      </w:r>
    </w:p>
    <w:p>
      <w:r>
        <w:rPr>
          <w:rFonts w:ascii="等线(中文正文)" w:hAnsi="等线(中文正文)" w:cs="等线(中文正文)" w:eastAsia="等线(中文正文)"/>
          <w:b w:val="false"/>
          <w:i w:val="false"/>
          <w:sz w:val="20"/>
        </w:rPr>
        <w:t>发言人1：The company opened eight new stores during the quarter, bringing the total network to 167 stores. The store productivity has consistently outperformed, reinforcing the company's expansion strategy and long-term productivity opportunity across its store base. The company remains on track to open more than 15 new stores in 2026, expanding to tier 1 and tier 2 cities.</w:t>
      </w:r>
    </w:p>
    <w:p>
      <w:r>
        <w:rPr>
          <w:rFonts w:ascii="等线(中文正文)" w:hAnsi="等线(中文正文)" w:cs="等线(中文正文)" w:eastAsia="等线(中文正文)"/>
          <w:b w:val="false"/>
          <w:i w:val="false"/>
          <w:sz w:val="20"/>
        </w:rPr>
        <w:t/>
      </w:r>
    </w:p>
    <w:p>
      <w:pPr>
        <w:pStyle w:val="ab"/>
      </w:pPr>
      <w:r>
        <w:t>What efforts have been made to strengthen the Hunter brand equity?</w:t>
      </w:r>
    </w:p>
    <w:p>
      <w:r>
        <w:rPr>
          <w:rFonts w:ascii="等线(中文正文)" w:hAnsi="等线(中文正文)" w:cs="等线(中文正文)" w:eastAsia="等线(中文正文)"/>
          <w:b w:val="false"/>
          <w:i w:val="false"/>
          <w:sz w:val="20"/>
        </w:rPr>
        <w:t>发言人1：To strengthen Hunter brand equity, the company opened three flagship stores in high-profile shopping malls, bringing the total number of stores to 16 by the end of June. The company also expanded its product offering to enhance brand equity.</w:t>
      </w:r>
    </w:p>
    <w:p>
      <w:r>
        <w:rPr>
          <w:rFonts w:ascii="等线(中文正文)" w:hAnsi="等线(中文正文)" w:cs="等线(中文正文)" w:eastAsia="等线(中文正文)"/>
          <w:b w:val="false"/>
          <w:i w:val="false"/>
          <w:sz w:val="20"/>
        </w:rPr>
        <w:t/>
      </w:r>
    </w:p>
    <w:p>
      <w:pPr>
        <w:pStyle w:val="ab"/>
      </w:pPr>
      <w:r>
        <w:t>What are the new lines of urban apparel and outdoor wear introduced by the brand?</w:t>
      </w:r>
    </w:p>
    <w:p>
      <w:r>
        <w:rPr>
          <w:rFonts w:ascii="等线(中文正文)" w:hAnsi="等线(中文正文)" w:cs="等线(中文正文)" w:eastAsia="等线(中文正文)"/>
          <w:b w:val="false"/>
          <w:i w:val="false"/>
          <w:sz w:val="20"/>
        </w:rPr>
        <w:t>发言人1：The brand introduced new lines of urban apparel and outdoor wear to reach a broader consumer base and address diverse lifestyle needs.</w:t>
      </w:r>
    </w:p>
    <w:p>
      <w:r>
        <w:rPr>
          <w:rFonts w:ascii="等线(中文正文)" w:hAnsi="等线(中文正文)" w:cs="等线(中文正文)" w:eastAsia="等线(中文正文)"/>
          <w:b w:val="false"/>
          <w:i w:val="false"/>
          <w:sz w:val="20"/>
        </w:rPr>
        <w:t/>
      </w:r>
    </w:p>
    <w:p>
      <w:pPr>
        <w:pStyle w:val="ab"/>
      </w:pPr>
      <w:r>
        <w:t>What has been the impact of the differentiated brand management model in the second quarter?</w:t>
      </w:r>
    </w:p>
    <w:p>
      <w:r>
        <w:rPr>
          <w:rFonts w:ascii="等线(中文正文)" w:hAnsi="等线(中文正文)" w:cs="等线(中文正文)" w:eastAsia="等线(中文正文)"/>
          <w:b w:val="false"/>
          <w:i w:val="false"/>
          <w:sz w:val="20"/>
        </w:rPr>
        <w:t>发言人1：The differentiated brand management model has continued to position the brands for all performance through faster localization, stronger omnichannel execution, and operational excellence in the second quarter.</w:t>
      </w:r>
    </w:p>
    <w:p>
      <w:r>
        <w:rPr>
          <w:rFonts w:ascii="等线(中文正文)" w:hAnsi="等线(中文正文)" w:cs="等线(中文正文)" w:eastAsia="等线(中文正文)"/>
          <w:b w:val="false"/>
          <w:i w:val="false"/>
          <w:sz w:val="20"/>
        </w:rPr>
        <w:t/>
      </w:r>
    </w:p>
    <w:p>
      <w:pPr>
        <w:pStyle w:val="ab"/>
      </w:pPr>
      <w:r>
        <w:t>What are the updated financial results and expectations for the year 2028?</w:t>
      </w:r>
    </w:p>
    <w:p>
      <w:r>
        <w:rPr>
          <w:rFonts w:ascii="等线(中文正文)" w:hAnsi="等线(中文正文)" w:cs="等线(中文正文)" w:eastAsia="等线(中文正文)"/>
          <w:b w:val="false"/>
          <w:i w:val="false"/>
          <w:sz w:val="20"/>
        </w:rPr>
        <w:t>发言人1：The updated financial results for the year 2028 show an increase in operating income focus from $550 million to $700 million. Management projects higher profitability due to stronger trends for BBM and the successful implementation of AI tools and automation.</w:t>
      </w:r>
    </w:p>
    <w:p>
      <w:r>
        <w:rPr>
          <w:rFonts w:ascii="等线(中文正文)" w:hAnsi="等线(中文正文)" w:cs="等线(中文正文)" w:eastAsia="等线(中文正文)"/>
          <w:b w:val="false"/>
          <w:i w:val="false"/>
          <w:sz w:val="20"/>
        </w:rPr>
        <w:t/>
      </w:r>
    </w:p>
    <w:p>
      <w:pPr>
        <w:pStyle w:val="ab"/>
      </w:pPr>
      <w:r>
        <w:t>What is the anticipated impact of AI tools and automation on the company's business?</w:t>
      </w:r>
    </w:p>
    <w:p>
      <w:r>
        <w:rPr>
          <w:rFonts w:ascii="等线(中文正文)" w:hAnsi="等线(中文正文)" w:cs="等线(中文正文)" w:eastAsia="等线(中文正文)"/>
          <w:b w:val="false"/>
          <w:i w:val="false"/>
          <w:sz w:val="20"/>
        </w:rPr>
        <w:t>发言人1：The anticipated impact of AI tools and automation on the company's business is significant, with potential to release a substantial scale for the UC business and substantial improvement in operational efficiency.</w:t>
      </w:r>
    </w:p>
    <w:p>
      <w:r>
        <w:rPr>
          <w:rFonts w:ascii="等线(中文正文)" w:hAnsi="等线(中文正文)" w:cs="等线(中文正文)" w:eastAsia="等线(中文正文)"/>
          <w:b w:val="false"/>
          <w:i w:val="false"/>
          <w:sz w:val="20"/>
        </w:rPr>
        <w:t/>
      </w:r>
    </w:p>
    <w:p>
      <w:pPr>
        <w:pStyle w:val="ab"/>
      </w:pPr>
      <w:r>
        <w:t>Has there been any change in spending budgets of brand partners, and how are they focusing their marketing allocation?</w:t>
      </w:r>
    </w:p>
    <w:p>
      <w:r>
        <w:rPr>
          <w:rFonts w:ascii="等线(中文正文)" w:hAnsi="等线(中文正文)" w:cs="等线(中文正文)" w:eastAsia="等线(中文正文)"/>
          <w:b w:val="false"/>
          <w:i w:val="false"/>
          <w:sz w:val="20"/>
        </w:rPr>
        <w:t>发言人1：The company has not seen any significant shift in spending budgets of brand partners. They are focusing more on content-driven marketing and allocating resources towards light string platforms, as well as digital analytics to analyze sales results data.</w:t>
      </w:r>
    </w:p>
    <w:p>
      <w:r>
        <w:rPr>
          <w:rFonts w:ascii="等线(中文正文)" w:hAnsi="等线(中文正文)" w:cs="等线(中文正文)" w:eastAsia="等线(中文正文)"/>
          <w:b w:val="false"/>
          <w:i w:val="false"/>
          <w:sz w:val="20"/>
        </w:rPr>
        <w:t/>
      </w:r>
    </w:p>
    <w:p>
      <w:pPr>
        <w:pStyle w:val="ab"/>
      </w:pPr>
      <w:r>
        <w:t>How is the brand planning to capture opportunities arising from changes in consumer habits across channels?</w:t>
      </w:r>
    </w:p>
    <w:p>
      <w:r>
        <w:rPr>
          <w:rFonts w:ascii="等线(中文正文)" w:hAnsi="等线(中文正文)" w:cs="等线(中文正文)" w:eastAsia="等线(中文正文)"/>
          <w:b w:val="false"/>
          <w:i w:val="false"/>
          <w:sz w:val="20"/>
        </w:rPr>
        <w:t>发言人1：The brand plans to capture opportunities arising from changes in consumer habits across channels by continuing to invest in its emerging brand, enhancing the gap PL and community experience, and expanding into new markets and product categories.</w:t>
      </w:r>
    </w:p>
    <w:p>
      <w:r>
        <w:rPr>
          <w:rFonts w:ascii="等线(中文正文)" w:hAnsi="等线(中文正文)" w:cs="等线(中文正文)" w:eastAsia="等线(中文正文)"/>
          <w:b w:val="false"/>
          <w:i w:val="false"/>
          <w:sz w:val="20"/>
        </w:rPr>
        <w:t/>
      </w:r>
    </w:p>
    <w:p>
      <w:pPr>
        <w:pStyle w:val="ab"/>
      </w:pPr>
      <w:r>
        <w:t>What actions are being taken to strengthen the brand's equity and performance?</w:t>
      </w:r>
    </w:p>
    <w:p>
      <w:r>
        <w:rPr>
          <w:rFonts w:ascii="等线(中文正文)" w:hAnsi="等线(中文正文)" w:cs="等线(中文正文)" w:eastAsia="等线(中文正文)"/>
          <w:b w:val="false"/>
          <w:i w:val="false"/>
          <w:sz w:val="20"/>
        </w:rPr>
        <w:t>发言人1：To strengthen the brand's equity and performance, the brand is investing in local and international collaborations, exploring new category business opportunities, and focusing on enhancing brand presence in emerging markets.</w:t>
      </w:r>
    </w:p>
    <w:p>
      <w:r>
        <w:rPr>
          <w:rFonts w:ascii="等线(中文正文)" w:hAnsi="等线(中文正文)" w:cs="等线(中文正文)" w:eastAsia="等线(中文正文)"/>
          <w:b w:val="false"/>
          <w:i w:val="false"/>
          <w:sz w:val="20"/>
        </w:rPr>
        <w:t/>
      </w:r>
    </w:p>
    <w:p>
      <w:pPr>
        <w:pStyle w:val="ab"/>
      </w:pPr>
      <w:r>
        <w:t>What are the key trends and opportunities for BBM in management becoming more aggressive?</w:t>
      </w:r>
    </w:p>
    <w:p>
      <w:r>
        <w:rPr>
          <w:rFonts w:ascii="等线(中文正文)" w:hAnsi="等线(中文正文)" w:cs="等线(中文正文)" w:eastAsia="等线(中文正文)"/>
          <w:b w:val="false"/>
          <w:i w:val="false"/>
          <w:sz w:val="20"/>
        </w:rPr>
        <w:t>发言人1：The key trends and opportunities for BBM include the increasing market opportunities that are in line with the company's expectations and the strategy of pursuing potential and existing brand partnerships. The company is actively talking to various brands and considering new opportunities for BBM.</w:t>
      </w:r>
    </w:p>
    <w:p>
      <w:r>
        <w:rPr>
          <w:rFonts w:ascii="等线(中文正文)" w:hAnsi="等线(中文正文)" w:cs="等线(中文正文)" w:eastAsia="等线(中文正文)"/>
          <w:b w:val="false"/>
          <w:i w:val="false"/>
          <w:sz w:val="20"/>
        </w:rPr>
        <w:t/>
      </w:r>
    </w:p>
    <w:p>
      <w:pPr>
        <w:pStyle w:val="ab"/>
      </w:pPr>
      <w:r>
        <w:t>What are the four important aspects of the company's strategy to achieve their goals?</w:t>
      </w:r>
    </w:p>
    <w:p>
      <w:r>
        <w:rPr>
          <w:rFonts w:ascii="等线(中文正文)" w:hAnsi="等线(中文正文)" w:cs="等线(中文正文)" w:eastAsia="等线(中文正文)"/>
          <w:b w:val="false"/>
          <w:i w:val="false"/>
          <w:sz w:val="20"/>
        </w:rPr>
        <w:t>发言人1：The four important aspects of the company's strategy are: 1) the AI efforts they have made, 2) the strong synergy between B, C, and D, 3) the utilization of BBM organic growth opportunities, and 4) focusing on enhancing the existing DBM brands to organically grow and deliver better results.</w:t>
      </w:r>
    </w:p>
    <w:p>
      <w:r>
        <w:rPr>
          <w:rFonts w:ascii="等线(中文正文)" w:hAnsi="等线(中文正文)" w:cs="等线(中文正文)" w:eastAsia="等线(中文正文)"/>
          <w:b w:val="false"/>
          <w:i w:val="false"/>
          <w:sz w:val="20"/>
        </w:rPr>
        <w:t/>
      </w:r>
    </w:p>
    <w:p>
      <w:pPr>
        <w:pStyle w:val="ab"/>
      </w:pPr>
      <w:r>
        <w:t>How is AI impacting the industry and the company's competitive position?</w:t>
      </w:r>
    </w:p>
    <w:p>
      <w:r>
        <w:rPr>
          <w:rFonts w:ascii="等线(中文正文)" w:hAnsi="等线(中文正文)" w:cs="等线(中文正文)" w:eastAsia="等线(中文正文)"/>
          <w:b w:val="false"/>
          <w:i w:val="false"/>
          <w:sz w:val="20"/>
        </w:rPr>
        <w:t>发言人1：AI is significantly impacting the industry by enabling the company to take the leadership position among competitors. The company has invested heavily in IT resources, maintaining the highest IT payroll and various types of investments. As a result, AI has been instrumental in helping the company's existing brands deliver core systems and increase operational efficiency.</w:t>
      </w:r>
    </w:p>
    <w:p>
      <w:r>
        <w:rPr>
          <w:rFonts w:ascii="等线(中文正文)" w:hAnsi="等线(中文正文)" w:cs="等线(中文正文)" w:eastAsia="等线(中文正文)"/>
          <w:b w:val="false"/>
          <w:i w:val="false"/>
          <w:sz w:val="20"/>
        </w:rPr>
        <w:t/>
      </w:r>
    </w:p>
    <w:p>
      <w:pPr>
        <w:pStyle w:val="ab"/>
      </w:pPr>
      <w:r>
        <w:t>What is the company's view on future differentiation and investment areas related to AI?</w:t>
      </w:r>
    </w:p>
    <w:p>
      <w:r>
        <w:rPr>
          <w:rFonts w:ascii="等线(中文正文)" w:hAnsi="等线(中文正文)" w:cs="等线(中文正文)" w:eastAsia="等线(中文正文)"/>
          <w:b w:val="false"/>
          <w:i w:val="false"/>
          <w:sz w:val="20"/>
        </w:rPr>
        <w:t>发言人1：The company's view on future differentiation and investment areas related to AI includes a focus on AI data, automation, and increasing the knowledge base with a focus on geographic consumer behaviors. They aim to leverage AI to increase efficiency, support sales teams, and maintain a strong competitive position in the industry.</w:t>
      </w:r>
    </w:p>
    <w:p>
      <w:r>
        <w:rPr>
          <w:rFonts w:ascii="等线(中文正文)" w:hAnsi="等线(中文正文)" w:cs="等线(中文正文)" w:eastAsia="等线(中文正文)"/>
          <w:b w:val="false"/>
          <w:i w:val="false"/>
          <w:sz w:val="20"/>
        </w:rPr>
        <w:t/>
      </w:r>
    </w:p>
    <w:p>
      <w:pPr>
        <w:pStyle w:val="ab"/>
      </w:pPr>
      <w:r>
        <w:t>What is the perspective on the company's retail industry performance and future guidance for same store sales?</w:t>
      </w:r>
    </w:p>
    <w:p>
      <w:r>
        <w:rPr>
          <w:rFonts w:ascii="等线(中文正文)" w:hAnsi="等线(中文正文)" w:cs="等线(中文正文)" w:eastAsia="等线(中文正文)"/>
          <w:b w:val="false"/>
          <w:i w:val="false"/>
          <w:sz w:val="20"/>
        </w:rPr>
        <w:t>发言人1：The company views its retail industry performance positively, noting a double-digit increase in EBITA. They expect continued strong performance in same store sales with a forecasted growth of 15 to 22 percent. The company credits several factors, such as merchandising improvements, enhanced customer understanding, successful product launches, robust marketing strategies, and strategic channel expansion.</w:t>
      </w:r>
    </w:p>
    <w:p>
      <w:r>
        <w:rPr>
          <w:rFonts w:ascii="等线(中文正文)" w:hAnsi="等线(中文正文)" w:cs="等线(中文正文)" w:eastAsia="等线(中文正文)"/>
          <w:b w:val="false"/>
          <w:i w:val="false"/>
          <w:sz w:val="20"/>
        </w:rPr>
        <w:t/>
      </w:r>
    </w:p>
    <w:p>
      <w:pPr>
        <w:pStyle w:val="ab"/>
      </w:pPr>
      <w:r>
        <w:t>What does the July 2026 NBS data indicate about consumer trends, and how does the company view its sales trends across platforms and categories?</w:t>
      </w:r>
    </w:p>
    <w:p>
      <w:r>
        <w:rPr>
          <w:rFonts w:ascii="等线(中文正文)" w:hAnsi="等线(中文正文)" w:cs="等线(中文正文)" w:eastAsia="等线(中文正文)"/>
          <w:b w:val="false"/>
          <w:i w:val="false"/>
          <w:sz w:val="20"/>
        </w:rPr>
        <w:t>发言人1：The July 2026 NBS data points to subdued consumption. However, the company has not observed significant changes in sales trends across different platforms. E-Commerce has become very stable, and the company expects a strong finish in the coming double十一. Sales growth is noted in premium luxury, sports and authority, fashion, and health and caring sectors on the light stream platform.</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2026-08-27T14:13:00Z</dcterms:created>
  <dc:creator>Apache POI</dc:creator>
</cp:coreProperties>
</file>