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青瓷游戏（6633.HK）2026年中期业绩交流会 260827_导读</w:t>
      </w:r>
    </w:p>
    <w:p>
      <w:pPr>
        <w:pStyle w:val="a0"/>
        <w:jc w:val="center"/>
      </w:pPr>
      <w:r>
        <w:t>2026年08月27日 22:07</w:t>
      </w:r>
    </w:p>
    <w:p>
      <w:pPr>
        <w:pStyle w:val="a7"/>
      </w:pPr>
      <w:r>
        <w:t>关键词</w:t>
      </w:r>
    </w:p>
    <w:p>
      <w:r>
        <w:rPr>
          <w:rFonts w:ascii="等线(中文正文)" w:hAnsi="等线(中文正文)" w:cs="等线(中文正文)" w:eastAsia="等线(中文正文)"/>
          <w:b w:val="false"/>
          <w:i w:val="false"/>
          <w:sz w:val="20"/>
        </w:rPr>
        <w:t xml:space="preserve">青石游戏 黄志强 全球化 长线化 精品化 最强蜗牛 收入 毛利 净利润 海外收入 研发投入 AI技术 迷途之光 韩国版本 玩家社群 投资收益 游戏 投资 资金 储备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青瓷游戏的高级管理层举行投资者会议，回顾了2026年上半年业务及财务表现，并展望未来。公司坚持精品化、全球化、长线化战略，重点展示了《最强蜗牛》等游戏的良好表现，以及在AI技术应用和内容更新方面的努力。CEO强调通过个性化体验深化玩家情感连接。CFO刘思明报告，尽管面临收入同比下降的挑战，得益于投资收益增长，净利润仍见提升。未来，公司将稳步推进重点项目，优化AI技术，提升全球化能力。会议还回应了投资者关于股价、游戏生命周期及派息计划的提问，表达了对股东价值的重视。</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青石游戏2026年上半年业务回顾与财务报告</w:t>
      </w:r>
    </w:p>
    <w:p>
      <w:r>
        <w:rPr>
          <w:rFonts w:ascii="等线(中文正文)" w:hAnsi="等线(中文正文)" w:cs="等线(中文正文)" w:eastAsia="等线(中文正文)"/>
          <w:b w:val="false"/>
          <w:i w:val="false"/>
          <w:sz w:val="20"/>
        </w:rPr>
        <w:t>青石游戏在2026年上半年持续推行精品化、全球化、长线化战略，重点游戏如《最强蜗牛》、《魔卡少女樱回忆钥匙》等取得显著成绩，收入与用户活跃度双增长。同时，公司强化AI数据分析，优化社群运营，有效降低获客成本，提升玩家体验。财务方面，首席财务官将详细报告公司上半年的财务状况。</w:t>
      </w:r>
    </w:p>
    <w:p>
      <w:r>
        <w:rPr>
          <w:rFonts w:ascii="等线(中文正文)" w:hAnsi="等线(中文正文)" w:cs="等线(中文正文)" w:eastAsia="等线(中文正文)"/>
          <w:b w:val="false"/>
          <w:i w:val="false"/>
          <w:sz w:val="20"/>
        </w:rPr>
        <w:t/>
      </w:r>
    </w:p>
    <w:p>
      <w:pPr>
        <w:pStyle w:val="ab"/>
        <w:numPr>
          <w:numId w:val="2"/>
        </w:numPr>
      </w:pPr>
      <w:r>
        <w:t>06:32 2026年上半年公司财务表现与游戏运营分析</w:t>
      </w:r>
    </w:p>
    <w:p>
      <w:r>
        <w:rPr>
          <w:rFonts w:ascii="等线(中文正文)" w:hAnsi="等线(中文正文)" w:cs="等线(中文正文)" w:eastAsia="等线(中文正文)"/>
          <w:b w:val="false"/>
          <w:i w:val="false"/>
          <w:sz w:val="20"/>
        </w:rPr>
        <w:t>2026年上半年，公司收入1.7亿元，同比下降31.3%，毛利9704万元，毛利率降至57.2%。尽管活跃用户和付费用户数量下降，但ARPPU上升8.22%。净利润达3.16亿元，同比增长335.1%，主要得益于投资公允价值收益增加。海外收入占比43.29%，与去年基本持平。游戏运营方面，成熟游戏用户自然回落，但新版本更新和运营活动促进了部分用户回流，提升了核心用户的付费意愿。</w:t>
      </w:r>
    </w:p>
    <w:p>
      <w:r>
        <w:rPr>
          <w:rFonts w:ascii="等线(中文正文)" w:hAnsi="等线(中文正文)" w:cs="等线(中文正文)" w:eastAsia="等线(中文正文)"/>
          <w:b w:val="false"/>
          <w:i w:val="false"/>
          <w:sz w:val="20"/>
        </w:rPr>
        <w:t/>
      </w:r>
    </w:p>
    <w:p>
      <w:pPr>
        <w:pStyle w:val="ab"/>
        <w:numPr>
          <w:numId w:val="3"/>
        </w:numPr>
      </w:pPr>
      <w:r>
        <w:t>09:45 2026年上半年公司财务分析与未来展望</w:t>
      </w:r>
    </w:p>
    <w:p>
      <w:r>
        <w:rPr>
          <w:rFonts w:ascii="等线(中文正文)" w:hAnsi="等线(中文正文)" w:cs="等线(中文正文)" w:eastAsia="等线(中文正文)"/>
          <w:b w:val="false"/>
          <w:i w:val="false"/>
          <w:sz w:val="20"/>
        </w:rPr>
        <w:t>2026年上半年，公司销售和营销开支下降，研发开支显著增加，行政开支上升。未来，公司将依托现有产品，推进重点储备项目，深化AI技术应用，提升资源配置效率，计划2027年在全球主要地区开展广泛测试并上线多平台版本。同时，积极挖掘成熟精品的海外潜力，推进迷途之光全球版及最强蜗牛韩国版本上线，稳步放大优质产品生命周期价值。公司还将引进优质项目，丰富产品组合，并持续完善AI发行平台，提升对不同产品及市场的适配能力。</w:t>
      </w:r>
    </w:p>
    <w:p>
      <w:r>
        <w:rPr>
          <w:rFonts w:ascii="等线(中文正文)" w:hAnsi="等线(中文正文)" w:cs="等线(中文正文)" w:eastAsia="等线(中文正文)"/>
          <w:b w:val="false"/>
          <w:i w:val="false"/>
          <w:sz w:val="20"/>
        </w:rPr>
        <w:t/>
      </w:r>
    </w:p>
    <w:p>
      <w:pPr>
        <w:pStyle w:val="ab"/>
        <w:numPr>
          <w:numId w:val="4"/>
        </w:numPr>
      </w:pPr>
      <w:r>
        <w:t>13:48 公司海外发行策略与全年收入展望</w:t>
      </w:r>
    </w:p>
    <w:p>
      <w:r>
        <w:rPr>
          <w:rFonts w:ascii="等线(中文正文)" w:hAnsi="等线(中文正文)" w:cs="等线(中文正文)" w:eastAsia="等线(中文正文)"/>
          <w:b w:val="false"/>
          <w:i w:val="false"/>
          <w:sz w:val="20"/>
        </w:rPr>
        <w:t>会议介绍了公司在日本发行游戏的成功经验，强调了深度本地化运营和精准营销的重要性，并计划将IP与全球化发行网络作为未来出海策略。针对收入下降，公司解释为旗舰项目研发周期延长导致，并指出未来将通过重点储备项目带来显著增长。投资方面，公司注重资产安全性和流动性，投资收益受美元高利率和科技板块良好表现驱动，旨在为精品游戏研发提供资金支持。</w:t>
      </w:r>
    </w:p>
    <w:p>
      <w:r>
        <w:rPr>
          <w:rFonts w:ascii="等线(中文正文)" w:hAnsi="等线(中文正文)" w:cs="等线(中文正文)" w:eastAsia="等线(中文正文)"/>
          <w:b w:val="false"/>
          <w:i w:val="false"/>
          <w:sz w:val="20"/>
        </w:rPr>
        <w:t/>
      </w:r>
    </w:p>
    <w:p>
      <w:pPr>
        <w:pStyle w:val="ab"/>
        <w:numPr>
          <w:numId w:val="5"/>
        </w:numPr>
      </w:pPr>
      <w:r>
        <w:t>20:55 游戏行业展望与AI影响探讨</w:t>
      </w:r>
    </w:p>
    <w:p>
      <w:r>
        <w:rPr>
          <w:rFonts w:ascii="等线(中文正文)" w:hAnsi="等线(中文正文)" w:cs="等线(中文正文)" w:eastAsia="等线(中文正文)"/>
          <w:b w:val="false"/>
          <w:i w:val="false"/>
          <w:sz w:val="20"/>
        </w:rPr>
        <w:t>对话围绕游戏行业未来展望及AI对其影响展开，管理层分享了游戏出海策略、重点储备项目进展，包括融合创新玩法的自研游戏和迪士尼合作项目。同时，强调了PC端业务作为能力补充的重要性，旨在丰富产品组合，积累跨平台发行经验，为未来多平台游戏发行奠定基础。</w:t>
      </w:r>
    </w:p>
    <w:p>
      <w:r>
        <w:rPr>
          <w:rFonts w:ascii="等线(中文正文)" w:hAnsi="等线(中文正文)" w:cs="等线(中文正文)" w:eastAsia="等线(中文正文)"/>
          <w:b w:val="false"/>
          <w:i w:val="false"/>
          <w:sz w:val="20"/>
        </w:rPr>
        <w:t/>
      </w:r>
    </w:p>
    <w:p>
      <w:pPr>
        <w:pStyle w:val="ab"/>
        <w:numPr>
          <w:numId w:val="6"/>
        </w:numPr>
      </w:pPr>
      <w:r>
        <w:t>24:41 AI重塑游戏行业竞争格局与公司股价策略</w:t>
      </w:r>
    </w:p>
    <w:p>
      <w:r>
        <w:rPr>
          <w:rFonts w:ascii="等线(中文正文)" w:hAnsi="等线(中文正文)" w:cs="等线(中文正文)" w:eastAsia="等线(中文正文)"/>
          <w:b w:val="false"/>
          <w:i w:val="false"/>
          <w:sz w:val="20"/>
        </w:rPr>
        <w:t>对话讨论了AI技术如何重塑游戏行业的研发与发行效率，强调AI在全生命周期业务中的赋能作用，以及AI时代企业竞争力的核心在于深度结合AI与自身资源。同时，管理层表达了对股价低估的理解，强调通过优质产品和健康财务状况提升股价，未来计划在实现稳定利润后考虑派发股息，与股东共享发展成果。</w:t>
      </w:r>
    </w:p>
    <w:p>
      <w:r>
        <w:rPr>
          <w:rFonts w:ascii="等线(中文正文)" w:hAnsi="等线(中文正文)" w:cs="等线(中文正文)" w:eastAsia="等线(中文正文)"/>
          <w:b w:val="false"/>
          <w:i w:val="false"/>
          <w:sz w:val="20"/>
        </w:rPr>
        <w:t/>
      </w:r>
    </w:p>
    <w:p>
      <w:pPr>
        <w:pStyle w:val="ab"/>
        <w:numPr>
          <w:numId w:val="7"/>
        </w:numPr>
      </w:pPr>
      <w:r>
        <w:t>29:38 青瓷游戏：最强蜗牛六年运营及未来派息计划</w:t>
      </w:r>
    </w:p>
    <w:p>
      <w:r>
        <w:rPr>
          <w:rFonts w:ascii="等线(中文正文)" w:hAnsi="等线(中文正文)" w:cs="等线(中文正文)" w:eastAsia="等线(中文正文)"/>
          <w:b w:val="false"/>
          <w:i w:val="false"/>
          <w:sz w:val="20"/>
        </w:rPr>
        <w:t>讨论了最强蜗牛游戏六年的生命周期，其稳健表现及未来通过版本创新和全球化布局保持价值创造的策略。管理层表示，当前资金将用于支持重磅项目研发和资本投入，未来在实现稳定现金回笼后将考虑派息或股份回购等股东回报措施。</w:t>
      </w:r>
    </w:p>
    <w:p>
      <w:r>
        <w:rPr>
          <w:rFonts w:ascii="等线(中文正文)" w:hAnsi="等线(中文正文)" w:cs="等线(中文正文)" w:eastAsia="等线(中文正文)"/>
          <w:b w:val="false"/>
          <w:i w:val="false"/>
          <w:sz w:val="20"/>
        </w:rPr>
        <w:t/>
      </w:r>
    </w:p>
    <w:p>
      <w:pPr>
        <w:pStyle w:val="a7"/>
      </w:pPr>
      <w:r>
        <w:t>发言总结</w:t>
      </w:r>
    </w:p>
    <w:p>
      <w:pPr>
        <w:pStyle w:val="ab"/>
        <w:numPr>
          <w:numId w:val="8"/>
        </w:numPr>
      </w:pPr>
      <w:r>
        <w:t>发言人1</w:t>
      </w:r>
    </w:p>
    <w:p>
      <w:r>
        <w:rPr>
          <w:rFonts w:ascii="等线(中文正文)" w:hAnsi="等线(中文正文)" w:cs="等线(中文正文)" w:eastAsia="等线(中文正文)"/>
          <w:b w:val="false"/>
          <w:i w:val="false"/>
          <w:sz w:val="20"/>
        </w:rPr>
        <w:t>他概述了青石游戏在2026年上半年的业务发展情况，强调了公司坚持的精品化、全球化、长线化战略。其中，“最强蜗牛”游戏在六周年庆期间展现出显著的用户付费意愿，ARPU值同比增长，累计流水突破40.37亿元，注册玩家达2993万，体现了游戏产品的成功运营。财务数据显示，上半年集团收入为1.7亿元，净利润为3.15亿元，同比增长明显，展现了公司的财务健康状况。发言人还提及，青石游戏未来将重点推进储备项目的研发，深化AI技术应用，以增强全球业务能力，并预期在AI、IP合作及全球化发行等方面取得新进展。同时，管理层考虑到当前处于产品投入期，暂无派息计划，但强调未来会适时考虑回报股东。整体而言，他的发言突出了青石游戏在产品、财务及未来展望方面的积极态势。</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问：公司在其他游戏方面的表现情况如何？</w:t>
      </w:r>
    </w:p>
    <w:p>
      <w:r>
        <w:rPr>
          <w:rFonts w:ascii="等线(中文正文)" w:hAnsi="等线(中文正文)" w:cs="等线(中文正文)" w:eastAsia="等线(中文正文)"/>
          <w:b w:val="false"/>
          <w:i w:val="false"/>
          <w:sz w:val="20"/>
        </w:rPr>
        <w:t>发言人1 答：其他游戏长线运营也表现出色，例如比价、魔卡少女樱回忆钥匙、健身房、民宿之光等游戏在各自市场中取得了良好的成绩，并持续贡献收入。</w:t>
      </w:r>
    </w:p>
    <w:p>
      <w:r>
        <w:rPr>
          <w:rFonts w:ascii="等线(中文正文)" w:hAnsi="等线(中文正文)" w:cs="等线(中文正文)" w:eastAsia="等线(中文正文)"/>
          <w:b w:val="false"/>
          <w:i w:val="false"/>
          <w:sz w:val="20"/>
        </w:rPr>
        <w:t/>
      </w:r>
    </w:p>
    <w:p>
      <w:pPr>
        <w:pStyle w:val="ab"/>
      </w:pPr>
      <w:r>
        <w:t>发言人1 问：2020年上半年，公司是如何执行其精品化、全球化、长线化的核心战略的？《最强蜗牛》在2026年上半年的运营状况如何？</w:t>
      </w:r>
    </w:p>
    <w:p>
      <w:r>
        <w:rPr>
          <w:rFonts w:ascii="等线(中文正文)" w:hAnsi="等线(中文正文)" w:cs="等线(中文正文)" w:eastAsia="等线(中文正文)"/>
          <w:b w:val="false"/>
          <w:i w:val="false"/>
          <w:sz w:val="20"/>
        </w:rPr>
        <w:t>发言人1 答：在2020年上半年，公司坚持了精品化、全球化、长线化的核心战略，主要围绕现有游戏的长线运营，重点产品的全球化发行以及储备游戏的研发测试有序开展工作。《最强蜗牛》在2026年6月迎来内地及港澳台地区上线六周年，新增了全新角色丫丫、乐园经营玩法及国家俄罗斯，并举办了以童年回忆为核心的六周年庆典活动。周年庆期间，核心用户付费意愿与付费深度显著提升，活动期间游戏的普及率和ARPU均录得双位数增长。</w:t>
      </w:r>
    </w:p>
    <w:p>
      <w:r>
        <w:rPr>
          <w:rFonts w:ascii="等线(中文正文)" w:hAnsi="等线(中文正文)" w:cs="等线(中文正文)" w:eastAsia="等线(中文正文)"/>
          <w:b w:val="false"/>
          <w:i w:val="false"/>
          <w:sz w:val="20"/>
        </w:rPr>
        <w:t/>
      </w:r>
    </w:p>
    <w:p>
      <w:pPr>
        <w:pStyle w:val="ab"/>
      </w:pPr>
      <w:r>
        <w:t>发言人1 问：公司在财务方面的表现怎么样？</w:t>
      </w:r>
    </w:p>
    <w:p>
      <w:r>
        <w:rPr>
          <w:rFonts w:ascii="等线(中文正文)" w:hAnsi="等线(中文正文)" w:cs="等线(中文正文)" w:eastAsia="等线(中文正文)"/>
          <w:b w:val="false"/>
          <w:i w:val="false"/>
          <w:sz w:val="20"/>
        </w:rPr>
        <w:t>发言人1 答：2026年上半年，集团收入为人民币1.7亿元，毛利为人民币9704万元，净利润为人民币3.15亿元。月平均活跃用户数MAU为81.28万，同比下降28.95%；月平均付费用户MPU为9.99万人，同比下降28.9%。净利润增长的主要原因是集团投资的公允价值收益增加，而收入下降则主要是由于部分现有游戏处于成熟期及新产品上线结算受影响。</w:t>
      </w:r>
    </w:p>
    <w:p>
      <w:r>
        <w:rPr>
          <w:rFonts w:ascii="等线(中文正文)" w:hAnsi="等线(中文正文)" w:cs="等线(中文正文)" w:eastAsia="等线(中文正文)"/>
          <w:b w:val="false"/>
          <w:i w:val="false"/>
          <w:sz w:val="20"/>
        </w:rPr>
        <w:t/>
      </w:r>
    </w:p>
    <w:p>
      <w:pPr>
        <w:pStyle w:val="ab"/>
      </w:pPr>
      <w:r>
        <w:t>发言人1 问：销售和营销开支及研发开支的情况如何？</w:t>
      </w:r>
    </w:p>
    <w:p>
      <w:r>
        <w:rPr>
          <w:rFonts w:ascii="等线(中文正文)" w:hAnsi="等线(中文正文)" w:cs="等线(中文正文)" w:eastAsia="等线(中文正文)"/>
          <w:b w:val="false"/>
          <w:i w:val="false"/>
          <w:sz w:val="20"/>
        </w:rPr>
        <w:t>发言人1 答：2026年上半年，销售和营销开支为3260万元，较去年同期下降41.8%；研发开支为6362万元，较去年同期大幅增加了51.4%，主要是由于委托研发及美术外包服务增加，以及部分重点自研游戏研发人员和团队扩充。</w:t>
      </w:r>
    </w:p>
    <w:p>
      <w:r>
        <w:rPr>
          <w:rFonts w:ascii="等线(中文正文)" w:hAnsi="等线(中文正文)" w:cs="等线(中文正文)" w:eastAsia="等线(中文正文)"/>
          <w:b w:val="false"/>
          <w:i w:val="false"/>
          <w:sz w:val="20"/>
        </w:rPr>
        <w:t/>
      </w:r>
    </w:p>
    <w:p>
      <w:pPr>
        <w:pStyle w:val="ab"/>
      </w:pPr>
      <w:r>
        <w:t>发言人1 问：对于未来，公司有什么样的展望和计划？</w:t>
      </w:r>
    </w:p>
    <w:p>
      <w:r>
        <w:rPr>
          <w:rFonts w:ascii="等线(中文正文)" w:hAnsi="等线(中文正文)" w:cs="等线(中文正文)" w:eastAsia="等线(中文正文)"/>
          <w:b w:val="false"/>
          <w:i w:val="false"/>
          <w:sz w:val="20"/>
        </w:rPr>
        <w:t>发言人1 答：展望未来，公司将依托现有长线运营产品为基础，稳步推进重点储备项目及全球化发行，同时深化AI技术应用，持续提升资源配置效率和全球化业务能力。</w:t>
      </w:r>
    </w:p>
    <w:p>
      <w:r>
        <w:rPr>
          <w:rFonts w:ascii="等线(中文正文)" w:hAnsi="等线(中文正文)" w:cs="等线(中文正文)" w:eastAsia="等线(中文正文)"/>
          <w:b w:val="false"/>
          <w:i w:val="false"/>
          <w:sz w:val="20"/>
        </w:rPr>
        <w:t/>
      </w:r>
    </w:p>
    <w:p>
      <w:pPr>
        <w:pStyle w:val="ab"/>
      </w:pPr>
      <w:r>
        <w:t>发言人1 问：公司的收入有所下降，能否展望全年收入情况及未来增长点？此外，公司获得了不错的投资收益，能否分享一下投资经验？</w:t>
      </w:r>
    </w:p>
    <w:p>
      <w:r>
        <w:rPr>
          <w:rFonts w:ascii="等线(中文正文)" w:hAnsi="等线(中文正文)" w:cs="等线(中文正文)" w:eastAsia="等线(中文正文)"/>
          <w:b w:val="false"/>
          <w:i w:val="false"/>
          <w:sz w:val="20"/>
        </w:rPr>
        <w:t>发言人1 答：当前公司正处于旗舰项目集中研发阶段，收入反映了产品生命周期和新产品储备的衔接影响。由于核心长期项目的研发周期比预期更长，进入成熟期后收入自然回落。尽管如此，上半年研发开支同比增加超过50%，并且公司正在推进多个重点储备项目的研发和合作，如返号申请中的项目、迪士尼促进传奇的调优以及多款Steam项目的合作。随着这些重点项目的陆续上线，业务将迎来显著增长，盈利结构也将更加平衡健康。在投资方面，公司强调资产安全性和流动性，通过配置优质的短期投资基金和其他理财产品来提高资金使用效率和流动性，本次报告期内的投资收益得益于美元高利率环境及全球科技板块的良好表现。</w:t>
      </w:r>
    </w:p>
    <w:p>
      <w:r>
        <w:rPr>
          <w:rFonts w:ascii="等线(中文正文)" w:hAnsi="等线(中文正文)" w:cs="等线(中文正文)" w:eastAsia="等线(中文正文)"/>
          <w:b w:val="false"/>
          <w:i w:val="false"/>
          <w:sz w:val="20"/>
        </w:rPr>
        <w:t/>
      </w:r>
    </w:p>
    <w:p>
      <w:pPr>
        <w:pStyle w:val="ab"/>
      </w:pPr>
      <w:r>
        <w:t>发言人1 问：能否请领导帮我们展望一下游戏后续的重点？如何看待AI对游戏行业的影响，以及对游戏厂商竞争格局的影响？</w:t>
      </w:r>
    </w:p>
    <w:p>
      <w:r>
        <w:rPr>
          <w:rFonts w:ascii="等线(中文正文)" w:hAnsi="等线(中文正文)" w:cs="等线(中文正文)" w:eastAsia="等线(中文正文)"/>
          <w:b w:val="false"/>
          <w:i w:val="false"/>
          <w:sz w:val="20"/>
        </w:rPr>
        <w:t>发言人1 答：（未给出直接回答，需待管理层进一步阐述和分析）</w:t>
      </w:r>
    </w:p>
    <w:p>
      <w:r>
        <w:rPr>
          <w:rFonts w:ascii="等线(中文正文)" w:hAnsi="等线(中文正文)" w:cs="等线(中文正文)" w:eastAsia="等线(中文正文)"/>
          <w:b w:val="false"/>
          <w:i w:val="false"/>
          <w:sz w:val="20"/>
        </w:rPr>
        <w:t/>
      </w:r>
    </w:p>
    <w:p>
      <w:pPr>
        <w:pStyle w:val="ab"/>
      </w:pPr>
      <w:r>
        <w:t>发言人1 问：公司当前的游戏储备情况如何？“迪士尼数据传奇”项目的进度及发行计划是什么？</w:t>
      </w:r>
    </w:p>
    <w:p>
      <w:r>
        <w:rPr>
          <w:rFonts w:ascii="等线(中文正文)" w:hAnsi="等线(中文正文)" w:cs="等线(中文正文)" w:eastAsia="等线(中文正文)"/>
          <w:b w:val="false"/>
          <w:i w:val="false"/>
          <w:sz w:val="20"/>
        </w:rPr>
        <w:t>发言人1 答：公司游戏储备丰富，一方面在探索现有游戏如最强蜗牛韩国版本和迷途之光全球版本的出海，以延长优质产品的生命周期并巩固全球化发行能力；另一方面拥有包括自研实践、游戏创意及与迪士尼合作的《数据传奇》等多款手机游戏储备。“迪士尼数据传奇”项目需要更多时间进行内容打磨与调试优化，已获得版号，今年下半年会继续进行多轮测试及本地化适配，根据调优进度安排上线规划，预计授权数款游戏在多个平台发行，包括动作游戏增量游戏等品类，有望为玩家带来新颖体验。</w:t>
      </w:r>
    </w:p>
    <w:p>
      <w:r>
        <w:rPr>
          <w:rFonts w:ascii="等线(中文正文)" w:hAnsi="等线(中文正文)" w:cs="等线(中文正文)" w:eastAsia="等线(中文正文)"/>
          <w:b w:val="false"/>
          <w:i w:val="false"/>
          <w:sz w:val="20"/>
        </w:rPr>
        <w:t/>
      </w:r>
    </w:p>
    <w:p>
      <w:pPr>
        <w:pStyle w:val="ab"/>
      </w:pPr>
      <w:r>
        <w:t>发言人1 问：项目一是由谁带队研发的重点储备项目，其进展如何？</w:t>
      </w:r>
    </w:p>
    <w:p>
      <w:r>
        <w:rPr>
          <w:rFonts w:ascii="等线(中文正文)" w:hAnsi="等线(中文正文)" w:cs="等线(中文正文)" w:eastAsia="等线(中文正文)"/>
          <w:b w:val="false"/>
          <w:i w:val="false"/>
          <w:sz w:val="20"/>
        </w:rPr>
        <w:t>发言人1 答：项目一是由董事长杨旭带领的研发团队进行的重点储备项目，该游戏已融合地图探索、背包管理、资源收集等多种元素，并在SRG玩法基础上加入独特创意设计。目前正在进行多轮面向核心玩家的测试，收到积极反馈，预计今年下半年进行更大规模测试，完善核心玩法和地方，并计划于2027年在全球主要市场推出，同时筹备Steam版本上线。</w:t>
      </w:r>
    </w:p>
    <w:p>
      <w:r>
        <w:rPr>
          <w:rFonts w:ascii="等线(中文正文)" w:hAnsi="等线(中文正文)" w:cs="等线(中文正文)" w:eastAsia="等线(中文正文)"/>
          <w:b w:val="false"/>
          <w:i w:val="false"/>
          <w:sz w:val="20"/>
        </w:rPr>
        <w:t/>
      </w:r>
    </w:p>
    <w:p>
      <w:pPr>
        <w:pStyle w:val="ab"/>
      </w:pPr>
      <w:r>
        <w:t>发言人1 问：集团在PC端业务方面的定位和发展情况如何？</w:t>
      </w:r>
    </w:p>
    <w:p>
      <w:r>
        <w:rPr>
          <w:rFonts w:ascii="等线(中文正文)" w:hAnsi="等线(中文正文)" w:cs="等线(中文正文)" w:eastAsia="等线(中文正文)"/>
          <w:b w:val="false"/>
          <w:i w:val="false"/>
          <w:sz w:val="20"/>
        </w:rPr>
        <w:t>发言人1 答：集团目前以移动游戏为主营业务方向，PC端业务作为能力补充和业务延伸。通过Steam平台发行的游戏正在积累PC端发行经验，不仅有助于短期收入贡献，还能丰富产品组合，积累跨平台发行和社区运营经验，为未来自研或合作产品的多平台发行打下基础。</w:t>
      </w:r>
    </w:p>
    <w:p>
      <w:r>
        <w:rPr>
          <w:rFonts w:ascii="等线(中文正文)" w:hAnsi="等线(中文正文)" w:cs="等线(中文正文)" w:eastAsia="等线(中文正文)"/>
          <w:b w:val="false"/>
          <w:i w:val="false"/>
          <w:sz w:val="20"/>
        </w:rPr>
        <w:t/>
      </w:r>
    </w:p>
    <w:p>
      <w:pPr>
        <w:pStyle w:val="ab"/>
      </w:pPr>
      <w:r>
        <w:t>发言人1 问：AI技术对游戏行业竞争格局有何影响？</w:t>
      </w:r>
    </w:p>
    <w:p>
      <w:r>
        <w:rPr>
          <w:rFonts w:ascii="等线(中文正文)" w:hAnsi="等线(中文正文)" w:cs="等线(中文正文)" w:eastAsia="等线(中文正文)"/>
          <w:b w:val="false"/>
          <w:i w:val="false"/>
          <w:sz w:val="20"/>
        </w:rPr>
        <w:t>发言人1 答：AI等前沿技术正在实质性重塑游戏研发与发行效率边界，从单点工具走向全链路赋能，推动市场洞察、内容制作、投放执行与运营反馈间形成更高效闭环。AI已深入业务全生命周期，帮助精细化管理游戏版本、提升内容生产效率及优化发行运营决策。</w:t>
      </w:r>
    </w:p>
    <w:p>
      <w:r>
        <w:rPr>
          <w:rFonts w:ascii="等线(中文正文)" w:hAnsi="等线(中文正文)" w:cs="等线(中文正文)" w:eastAsia="等线(中文正文)"/>
          <w:b w:val="false"/>
          <w:i w:val="false"/>
          <w:sz w:val="20"/>
        </w:rPr>
        <w:t/>
      </w:r>
    </w:p>
    <w:p>
      <w:pPr>
        <w:pStyle w:val="ab"/>
      </w:pPr>
      <w:r>
        <w:t>发言人1 问：面对AI技术发展，公司在竞争中的策略是什么？</w:t>
      </w:r>
    </w:p>
    <w:p>
      <w:r>
        <w:rPr>
          <w:rFonts w:ascii="等线(中文正文)" w:hAnsi="等线(中文正文)" w:cs="等线(中文正文)" w:eastAsia="等线(中文正文)"/>
          <w:b w:val="false"/>
          <w:i w:val="false"/>
          <w:sz w:val="20"/>
        </w:rPr>
        <w:t>发言人1 答：面对AI技术，公司认为单纯依赖产能的厂商将失去竞争优势，而具备深厚研发运营能力与快速迭代的企业将受益于AI技术，将其作为放大器和杠杆。公司将深度结合AI技术，强化玩法创新、世界观构建和长线精细化运营，以实现差异化竞争优势并跨越产品周期，促进长期高质量发展。</w:t>
      </w:r>
    </w:p>
    <w:p>
      <w:r>
        <w:rPr>
          <w:rFonts w:ascii="等线(中文正文)" w:hAnsi="等线(中文正文)" w:cs="等线(中文正文)" w:eastAsia="等线(中文正文)"/>
          <w:b w:val="false"/>
          <w:i w:val="false"/>
          <w:sz w:val="20"/>
        </w:rPr>
        <w:t/>
      </w:r>
    </w:p>
    <w:p>
      <w:pPr>
        <w:pStyle w:val="ab"/>
      </w:pPr>
      <w:r>
        <w:t>发言人1 问：公司如何看待当前股价水平和流动性，并将采取何种措施改善？</w:t>
      </w:r>
    </w:p>
    <w:p>
      <w:r>
        <w:rPr>
          <w:rFonts w:ascii="等线(中文正文)" w:hAnsi="等线(中文正文)" w:cs="等线(中文正文)" w:eastAsia="等线(中文正文)"/>
          <w:b w:val="false"/>
          <w:i w:val="false"/>
          <w:sz w:val="20"/>
        </w:rPr>
        <w:t>发言人1 答：公司管理层理解并重视投资者对公司股价和流动性的关切，认为当前股价未能充分反映内在价值，存在被低估情况。尽管市场整体情绪和产品研发周期影响股价表现，但公司重心始终放在打造优秀游戏产品上，致力于为玩家和股东创造长期价值。公司财务状况健康，现金充裕，积极考虑在实现稳定可观年度利润后派发股息，与股东共享发展成果。</w:t>
      </w:r>
    </w:p>
    <w:p>
      <w:r>
        <w:rPr>
          <w:rFonts w:ascii="等线(中文正文)" w:hAnsi="等线(中文正文)" w:cs="等线(中文正文)" w:eastAsia="等线(中文正文)"/>
          <w:b w:val="false"/>
          <w:i w:val="false"/>
          <w:sz w:val="20"/>
        </w:rPr>
        <w:t/>
      </w:r>
    </w:p>
    <w:p>
      <w:pPr>
        <w:pStyle w:val="ab"/>
      </w:pPr>
      <w:r>
        <w:t>发言人1 问：对于最强蜗牛这款已上线六年的游戏，如何看待其生命周期及未来发展？</w:t>
      </w:r>
    </w:p>
    <w:p>
      <w:r>
        <w:rPr>
          <w:rFonts w:ascii="等线(中文正文)" w:hAnsi="等线(中文正文)" w:cs="等线(中文正文)" w:eastAsia="等线(中文正文)"/>
          <w:b w:val="false"/>
          <w:i w:val="false"/>
          <w:sz w:val="20"/>
        </w:rPr>
        <w:t>发言人1 答：最强蜗牛自2020年6月上线以来，累计注册玩家近3000万人，境内外累计流水达40.37亿元，成为游戏行业长线运营标杆之一。未来公司将通过版本创新和精细化运营维持核心玩家社群活跃度，保持流水长期稳定，并即将上线韩国版本，有信心通过全球化布局持续创造稳定价值。</w:t>
      </w:r>
    </w:p>
    <w:p>
      <w:r>
        <w:rPr>
          <w:rFonts w:ascii="等线(中文正文)" w:hAnsi="等线(中文正文)" w:cs="等线(中文正文)" w:eastAsia="等线(中文正文)"/>
          <w:b w:val="false"/>
          <w:i w:val="false"/>
          <w:sz w:val="20"/>
        </w:rPr>
        <w:t/>
      </w:r>
    </w:p>
    <w:p>
      <w:pPr>
        <w:pStyle w:val="ab"/>
      </w:pPr>
      <w:r>
        <w:t>发言人1 问：公司是否有考虑派息计划？</w:t>
      </w:r>
    </w:p>
    <w:p>
      <w:r>
        <w:rPr>
          <w:rFonts w:ascii="等线(中文正文)" w:hAnsi="等线(中文正文)" w:cs="等线(中文正文)" w:eastAsia="等线(中文正文)"/>
          <w:b w:val="false"/>
          <w:i w:val="false"/>
          <w:sz w:val="20"/>
        </w:rPr>
        <w:t>发言人1 答：公司非常重视股东回报，尤其致力于为股东创造长期价值。目前阶段，为支持公司即将发行的重大项目和冲刺研发投入，选择将利润留存作为资金储备，以实现股东价值最大化。董事会每年审视股息政策，待密集的产品投入期过后，实现更稳定的现金回笼后，将积极考虑恢复派息或采取类似股份回购等行动来支持股东回报。</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2026-08-27T14:13:08Z</dcterms:created>
  <dc:creator>Apache POI</dc:creator>
</cp:coreProperties>
</file>