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森松国际（02155.HK）2026年中报业绩交流会 260827_导读</w:t>
      </w:r>
    </w:p>
    <w:p>
      <w:pPr>
        <w:pStyle w:val="a0"/>
        <w:jc w:val="center"/>
      </w:pPr>
      <w:r>
        <w:t>2026年08月27日 22:07</w:t>
      </w:r>
    </w:p>
    <w:p>
      <w:pPr>
        <w:pStyle w:val="a7"/>
      </w:pPr>
      <w:r>
        <w:t>关键词</w:t>
      </w:r>
    </w:p>
    <w:p>
      <w:r>
        <w:rPr>
          <w:rFonts w:ascii="等线(中文正文)" w:hAnsi="等线(中文正文)" w:cs="等线(中文正文)" w:eastAsia="等线(中文正文)"/>
          <w:b w:val="false"/>
          <w:i w:val="false"/>
          <w:sz w:val="20"/>
        </w:rPr>
        <w:t xml:space="preserve">森松国际 投资者 业绩 订单 亏损 汇率 能源 新能源 制药 海外 人民币结算 利润 客户 服务 技术 市场 全球化 产能 研发 头部企业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近期举行的投资者会议中，一家国际公司分享了其2026年上半年的经营状况及未来发展蓝图。尽管面临汇兑损益、销售费用及管理成本上升、国内项目受挫和中东地区业务停滞等多重挑战，公司仍保持乐观，指出上半年业绩虽阶段性亏损，但新签订单量创新高，表明业务增长潜力。会议强调，公司将通过加强海外业务拓展、加大技术研发投入和优化产品服务，实现可持续增长。展望未来三年，公司对业绩增长持乐观态度，计划进一步扩大市场份额，深化与全球顶级客户的合作，并优化业务结构以提升利润率和费用管理水平。</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森松国际业绩交流会议声明与管理层介绍</w:t>
      </w:r>
    </w:p>
    <w:p>
      <w:r>
        <w:rPr>
          <w:rFonts w:ascii="等线(中文正文)" w:hAnsi="等线(中文正文)" w:cs="等线(中文正文)" w:eastAsia="等线(中文正文)"/>
          <w:b w:val="false"/>
          <w:i w:val="false"/>
          <w:sz w:val="20"/>
        </w:rPr>
        <w:t>会议声明仅供参会者内部使用，禁止未经授权的公开发布，森松国际将追究侵权责任。提醒投资者谨慎投资，市场有风险。会议开始前，介绍了参与的管理层代表，包括能源和材料、生命科技板块负责人，证券事务负责人，财务负责人及投资者关系事业部成员。</w:t>
      </w:r>
    </w:p>
    <w:p>
      <w:r>
        <w:rPr>
          <w:rFonts w:ascii="等线(中文正文)" w:hAnsi="等线(中文正文)" w:cs="等线(中文正文)" w:eastAsia="等线(中文正文)"/>
          <w:b w:val="false"/>
          <w:i w:val="false"/>
          <w:sz w:val="20"/>
        </w:rPr>
        <w:t/>
      </w:r>
    </w:p>
    <w:p>
      <w:pPr>
        <w:pStyle w:val="ab"/>
        <w:numPr>
          <w:numId w:val="2"/>
        </w:numPr>
      </w:pPr>
      <w:r>
        <w:t>01:25 2026年上半年业绩回顾与未来展望</w:t>
      </w:r>
    </w:p>
    <w:p>
      <w:r>
        <w:rPr>
          <w:rFonts w:ascii="等线(中文正文)" w:hAnsi="等线(中文正文)" w:cs="等线(中文正文)" w:eastAsia="等线(中文正文)"/>
          <w:b w:val="false"/>
          <w:i w:val="false"/>
          <w:sz w:val="20"/>
        </w:rPr>
        <w:t>2026年上半年，公司面临前所未有的挑战，出现阶段性亏损1.57亿人民币，主要由外汇损益、费用率上升、国内项目恢复不及预期、中东地区冲突导致项目停滞及部分行业低毛利项目影响。管理层视此为警示与经验，承诺将更加谨慎规划，力求业绩回升与企业规模扩张。未来，公司将通过优化项目执行、增强成本控制等措施，重拾增长势头，增强股东信心。</w:t>
      </w:r>
    </w:p>
    <w:p>
      <w:r>
        <w:rPr>
          <w:rFonts w:ascii="等线(中文正文)" w:hAnsi="等线(中文正文)" w:cs="等线(中文正文)" w:eastAsia="等线(中文正文)"/>
          <w:b w:val="false"/>
          <w:i w:val="false"/>
          <w:sz w:val="20"/>
        </w:rPr>
        <w:t/>
      </w:r>
    </w:p>
    <w:p>
      <w:pPr>
        <w:pStyle w:val="ab"/>
        <w:numPr>
          <w:numId w:val="3"/>
        </w:numPr>
      </w:pPr>
      <w:r>
        <w:t>05:11 森松国际上半年订单增长显著，聚焦能源与制药行业</w:t>
      </w:r>
    </w:p>
    <w:p>
      <w:r>
        <w:rPr>
          <w:rFonts w:ascii="等线(中文正文)" w:hAnsi="等线(中文正文)" w:cs="等线(中文正文)" w:eastAsia="等线(中文正文)"/>
          <w:b w:val="false"/>
          <w:i w:val="false"/>
          <w:sz w:val="20"/>
        </w:rPr>
        <w:t>森松国际上半年新签订单总额117亿人民币，同比增95%，在手订单190亿，创历史新高。能源行业需求旺盛，制药行业订单虽下滑但仍是焦点，公司持续优化订单结构，提供全生命周期服务，锁定未来增长动能。</w:t>
      </w:r>
    </w:p>
    <w:p>
      <w:r>
        <w:rPr>
          <w:rFonts w:ascii="等线(中文正文)" w:hAnsi="等线(中文正文)" w:cs="等线(中文正文)" w:eastAsia="等线(中文正文)"/>
          <w:b w:val="false"/>
          <w:i w:val="false"/>
          <w:sz w:val="20"/>
        </w:rPr>
        <w:t/>
      </w:r>
    </w:p>
    <w:p>
      <w:pPr>
        <w:pStyle w:val="ab"/>
        <w:numPr>
          <w:numId w:val="4"/>
        </w:numPr>
      </w:pPr>
      <w:r>
        <w:t>10:23 深化客户关系与人民币结算策略推动企业稳健增长</w:t>
      </w:r>
    </w:p>
    <w:p>
      <w:r>
        <w:rPr>
          <w:rFonts w:ascii="等线(中文正文)" w:hAnsi="等线(中文正文)" w:cs="等线(中文正文)" w:eastAsia="等线(中文正文)"/>
          <w:b w:val="false"/>
          <w:i w:val="false"/>
          <w:sz w:val="20"/>
        </w:rPr>
        <w:t>对话强调了企业通过贴近客户需求和深化合作，实现利润空间扩大，特别是在海外业务中，通过人民币结算有效控制汇率风险，展现了公司稳健的经营状况和未来增长潜力。</w:t>
      </w:r>
    </w:p>
    <w:p>
      <w:r>
        <w:rPr>
          <w:rFonts w:ascii="等线(中文正文)" w:hAnsi="等线(中文正文)" w:cs="等线(中文正文)" w:eastAsia="等线(中文正文)"/>
          <w:b w:val="false"/>
          <w:i w:val="false"/>
          <w:sz w:val="20"/>
        </w:rPr>
        <w:t/>
      </w:r>
    </w:p>
    <w:p>
      <w:pPr>
        <w:pStyle w:val="ab"/>
        <w:numPr>
          <w:numId w:val="5"/>
        </w:numPr>
      </w:pPr>
      <w:r>
        <w:t>13:03 管理层回应业绩与订单情况</w:t>
      </w:r>
    </w:p>
    <w:p>
      <w:r>
        <w:rPr>
          <w:rFonts w:ascii="等线(中文正文)" w:hAnsi="等线(中文正文)" w:cs="等线(中文正文)" w:eastAsia="等线(中文正文)"/>
          <w:b w:val="false"/>
          <w:i w:val="false"/>
          <w:sz w:val="20"/>
        </w:rPr>
        <w:t>在业绩交流会后，公司订单持续增加，尤其来自北美、中东和北非地区，聚焦于新能源、光伏、传统油气和锂电相关产品。大订单预计持续3到4年，涉及核心设备、模块产品、技术服务及北美延伸服务，公司正与客户紧密沟通，推进后续订单。</w:t>
      </w:r>
    </w:p>
    <w:p>
      <w:r>
        <w:rPr>
          <w:rFonts w:ascii="等线(中文正文)" w:hAnsi="等线(中文正文)" w:cs="等线(中文正文)" w:eastAsia="等线(中文正文)"/>
          <w:b w:val="false"/>
          <w:i w:val="false"/>
          <w:sz w:val="20"/>
        </w:rPr>
        <w:t/>
      </w:r>
    </w:p>
    <w:p>
      <w:pPr>
        <w:pStyle w:val="ab"/>
        <w:numPr>
          <w:numId w:val="6"/>
        </w:numPr>
      </w:pPr>
      <w:r>
        <w:t>15:11 能源行业复苏与公司盈利前景</w:t>
      </w:r>
    </w:p>
    <w:p>
      <w:r>
        <w:rPr>
          <w:rFonts w:ascii="等线(中文正文)" w:hAnsi="等线(中文正文)" w:cs="等线(中文正文)" w:eastAsia="等线(中文正文)"/>
          <w:b w:val="false"/>
          <w:i w:val="false"/>
          <w:sz w:val="20"/>
        </w:rPr>
        <w:t>对话围绕能源行业复苏展开，讨论了传统能源和新能源的需求趋势，尤其是中东危机后能源安全的重要性提升。公司通过承接FPSO、海上FNG项目以及新能源项目如合成氨，展现了订单的可持续性和利润改善的潜力。北美大项目四期计划中，首期已启动，未来几年订单与交付预期乐观，表明公司对能源行业复苏持积极态度。</w:t>
      </w:r>
    </w:p>
    <w:p>
      <w:r>
        <w:rPr>
          <w:rFonts w:ascii="等线(中文正文)" w:hAnsi="等线(中文正文)" w:cs="等线(中文正文)" w:eastAsia="等线(中文正文)"/>
          <w:b w:val="false"/>
          <w:i w:val="false"/>
          <w:sz w:val="20"/>
        </w:rPr>
        <w:t/>
      </w:r>
    </w:p>
    <w:p>
      <w:pPr>
        <w:pStyle w:val="ab"/>
        <w:numPr>
          <w:numId w:val="7"/>
        </w:numPr>
      </w:pPr>
      <w:r>
        <w:t>17:38 大客户群体与未来订单增长分析</w:t>
      </w:r>
    </w:p>
    <w:p>
      <w:r>
        <w:rPr>
          <w:rFonts w:ascii="等线(中文正文)" w:hAnsi="等线(中文正文)" w:cs="等线(中文正文)" w:eastAsia="等线(中文正文)"/>
          <w:b w:val="false"/>
          <w:i w:val="false"/>
          <w:sz w:val="20"/>
        </w:rPr>
        <w:t>对话围绕大客户群体的扩大及未来订单增长压力展开，提到今年上半年高基数下，公司正积极布局人员、设计队伍、场地及海外合作，以承接持续大订单。对于全球资本开支项目，公司提供前期设计服务，预计与项目绑定关系深，对能源材料板块未来大订单前景持乐观态度。</w:t>
      </w:r>
    </w:p>
    <w:p>
      <w:r>
        <w:rPr>
          <w:rFonts w:ascii="等线(中文正文)" w:hAnsi="等线(中文正文)" w:cs="等线(中文正文)" w:eastAsia="等线(中文正文)"/>
          <w:b w:val="false"/>
          <w:i w:val="false"/>
          <w:sz w:val="20"/>
        </w:rPr>
        <w:t/>
      </w:r>
    </w:p>
    <w:p>
      <w:pPr>
        <w:pStyle w:val="ab"/>
        <w:numPr>
          <w:numId w:val="8"/>
        </w:numPr>
      </w:pPr>
      <w:r>
        <w:t>19:19 中医药行订单与CDMO行业趋势分析</w:t>
      </w:r>
    </w:p>
    <w:p>
      <w:r>
        <w:rPr>
          <w:rFonts w:ascii="等线(中文正文)" w:hAnsi="等线(中文正文)" w:cs="等线(中文正文)" w:eastAsia="等线(中文正文)"/>
          <w:b w:val="false"/>
          <w:i w:val="false"/>
          <w:sz w:val="20"/>
        </w:rPr>
        <w:t>对话围绕中医药行业订单来源及CDMO行业需求展开讨论。指出客户主要为全球及区域性头部企业，业务覆盖中国、欧洲、美国等地。强调与CDMO类型企业合作广泛，关注客户持续性和长期合作，CDMO产能扩建与需求情况非讨论重点。同时，提及AIDC业务进展，关注全球头部客户，业务布局不仅限于东南亚，还包括美国、欧洲等区域。</w:t>
      </w:r>
    </w:p>
    <w:p>
      <w:r>
        <w:rPr>
          <w:rFonts w:ascii="等线(中文正文)" w:hAnsi="等线(中文正文)" w:cs="等线(中文正文)" w:eastAsia="等线(中文正文)"/>
          <w:b w:val="false"/>
          <w:i w:val="false"/>
          <w:sz w:val="20"/>
        </w:rPr>
        <w:t/>
      </w:r>
    </w:p>
    <w:p>
      <w:pPr>
        <w:pStyle w:val="ab"/>
        <w:numPr>
          <w:numId w:val="9"/>
        </w:numPr>
      </w:pPr>
      <w:r>
        <w:t>23:53 公司产能与人力资源配置及未来研发方向探讨</w:t>
      </w:r>
    </w:p>
    <w:p>
      <w:r>
        <w:rPr>
          <w:rFonts w:ascii="等线(中文正文)" w:hAnsi="等线(中文正文)" w:cs="等线(中文正文)" w:eastAsia="等线(中文正文)"/>
          <w:b w:val="false"/>
          <w:i w:val="false"/>
          <w:sz w:val="20"/>
        </w:rPr>
        <w:t>对话讨论了公司近期订单增长与产能挑战，强调了全球化布局与新赛道拓展的人力资源前置配置，指出海外业务扩张需现场人员支持，同时提及生命科学、绿色能源等领域的技术专家需求，坚持长期主义与人才投资，确保订单储备与技术竞争力。</w:t>
      </w:r>
    </w:p>
    <w:p>
      <w:r>
        <w:rPr>
          <w:rFonts w:ascii="等线(中文正文)" w:hAnsi="等线(中文正文)" w:cs="等线(中文正文)" w:eastAsia="等线(中文正文)"/>
          <w:b w:val="false"/>
          <w:i w:val="false"/>
          <w:sz w:val="20"/>
        </w:rPr>
        <w:t/>
      </w:r>
    </w:p>
    <w:p>
      <w:pPr>
        <w:pStyle w:val="ab"/>
        <w:numPr>
          <w:numId w:val="10"/>
        </w:numPr>
      </w:pPr>
      <w:r>
        <w:t>27:26 产能挑战与研发方向：公司应对策略及未来布局</w:t>
      </w:r>
    </w:p>
    <w:p>
      <w:r>
        <w:rPr>
          <w:rFonts w:ascii="等线(中文正文)" w:hAnsi="等线(中文正文)" w:cs="等线(中文正文)" w:eastAsia="等线(中文正文)"/>
          <w:b w:val="false"/>
          <w:i w:val="false"/>
          <w:sz w:val="20"/>
        </w:rPr>
        <w:t>公司面临产能瓶颈，通过国内外基地投入和优化供应链克服挑战，确保订单支持。研发方向聚焦技术迭代与高附加值新赛道，如生物反应器、半导体材料、绿色能源和算力设施，旨在打造第二增长曲线。</w:t>
      </w:r>
    </w:p>
    <w:p>
      <w:r>
        <w:rPr>
          <w:rFonts w:ascii="等线(中文正文)" w:hAnsi="等线(中文正文)" w:cs="等线(中文正文)" w:eastAsia="等线(中文正文)"/>
          <w:b w:val="false"/>
          <w:i w:val="false"/>
          <w:sz w:val="20"/>
        </w:rPr>
        <w:t/>
      </w:r>
    </w:p>
    <w:p>
      <w:pPr>
        <w:pStyle w:val="ab"/>
        <w:numPr>
          <w:numId w:val="11"/>
        </w:numPr>
      </w:pPr>
      <w:r>
        <w:t>31:29 光伏与新能源产品市场需求持续增长</w:t>
      </w:r>
    </w:p>
    <w:p>
      <w:r>
        <w:rPr>
          <w:rFonts w:ascii="等线(中文正文)" w:hAnsi="等线(中文正文)" w:cs="等线(中文正文)" w:eastAsia="等线(中文正文)"/>
          <w:b w:val="false"/>
          <w:i w:val="false"/>
          <w:sz w:val="20"/>
        </w:rPr>
        <w:t>对话强调了光伏及新能源产品在全球范围内的持续需求，特别是北美地区和其他市场的表现。公司与客户沟通确认，当前仅处于项目第一阶段，后续阶段的接洽正在进行中，预计需求将持续数年。此外，公司在东南亚、澳洲、加拿大及印度等地的业务拓展也在推进，预示着海外光伏建设将迎来新周期。</w:t>
      </w:r>
    </w:p>
    <w:p>
      <w:r>
        <w:rPr>
          <w:rFonts w:ascii="等线(中文正文)" w:hAnsi="等线(中文正文)" w:cs="等线(中文正文)" w:eastAsia="等线(中文正文)"/>
          <w:b w:val="false"/>
          <w:i w:val="false"/>
          <w:sz w:val="20"/>
        </w:rPr>
        <w:t/>
      </w:r>
    </w:p>
    <w:p>
      <w:pPr>
        <w:pStyle w:val="ab"/>
        <w:numPr>
          <w:numId w:val="12"/>
        </w:numPr>
      </w:pPr>
      <w:r>
        <w:t>33:16 公司业绩与风控机制讨论</w:t>
      </w:r>
    </w:p>
    <w:p>
      <w:r>
        <w:rPr>
          <w:rFonts w:ascii="等线(中文正文)" w:hAnsi="等线(中文正文)" w:cs="等线(中文正文)" w:eastAsia="等线(中文正文)"/>
          <w:b w:val="false"/>
          <w:i w:val="false"/>
          <w:sz w:val="20"/>
        </w:rPr>
        <w:t>会议讨论了公司上半年业绩受减值损失和汇率影响的情况，以及当前订单转化率。风控方面强调了应收账款管理、外汇结算和风控委员会的作用，同时指出海外市场占比提升有助于减少国内环境的不利影响。</w:t>
      </w:r>
    </w:p>
    <w:p>
      <w:r>
        <w:rPr>
          <w:rFonts w:ascii="等线(中文正文)" w:hAnsi="等线(中文正文)" w:cs="等线(中文正文)" w:eastAsia="等线(中文正文)"/>
          <w:b w:val="false"/>
          <w:i w:val="false"/>
          <w:sz w:val="20"/>
        </w:rPr>
        <w:t/>
      </w:r>
    </w:p>
    <w:p>
      <w:pPr>
        <w:pStyle w:val="ab"/>
        <w:numPr>
          <w:numId w:val="13"/>
        </w:numPr>
      </w:pPr>
      <w:r>
        <w:t>38:09 订单转化率与收入确认周期分析</w:t>
      </w:r>
    </w:p>
    <w:p>
      <w:r>
        <w:rPr>
          <w:rFonts w:ascii="等线(中文正文)" w:hAnsi="等线(中文正文)" w:cs="等线(中文正文)" w:eastAsia="等线(中文正文)"/>
          <w:b w:val="false"/>
          <w:i w:val="false"/>
          <w:sz w:val="20"/>
        </w:rPr>
        <w:t>讨论了订单转化率及收入确认周期的变化，指出海外项目相较于国内项目转化周期更长，涉及更多前期和后期服务，但收入确认采用完工百分比法，确保每月收入确认金额稳定。</w:t>
      </w:r>
    </w:p>
    <w:p>
      <w:r>
        <w:rPr>
          <w:rFonts w:ascii="等线(中文正文)" w:hAnsi="等线(中文正文)" w:cs="等线(中文正文)" w:eastAsia="等线(中文正文)"/>
          <w:b w:val="false"/>
          <w:i w:val="false"/>
          <w:sz w:val="20"/>
        </w:rPr>
        <w:t/>
      </w:r>
    </w:p>
    <w:p>
      <w:pPr>
        <w:pStyle w:val="ab"/>
        <w:numPr>
          <w:numId w:val="14"/>
        </w:numPr>
      </w:pPr>
      <w:r>
        <w:t>41:58 新能源项目交付时间表与未来增长路径讨论</w:t>
      </w:r>
    </w:p>
    <w:p>
      <w:r>
        <w:rPr>
          <w:rFonts w:ascii="等线(中文正文)" w:hAnsi="等线(中文正文)" w:cs="等线(中文正文)" w:eastAsia="等线(中文正文)"/>
          <w:b w:val="false"/>
          <w:i w:val="false"/>
          <w:sz w:val="20"/>
        </w:rPr>
        <w:t>对话围绕新能源项目的一期交付时间展开，预计从今年年底开始至后年年中陆续交付，二期将于明年启动，与一期有重叠，整个四期项目计划在五年内完成。公司正考虑承接马来西亚、澳洲等海外项目，以逐步释放销售收入。未来三年，公司预计业绩将处于平台期，新增订单对1至2年业绩有显著确定性影响，公司正与客户接触以规划2026至2030年的业务。公司计划在下半年提供更详细的业绩量化信息，强调在当前有利环境下，公司将通过增强与市场的沟通，夯实未来增长的确定性。</w:t>
      </w:r>
    </w:p>
    <w:p>
      <w:r>
        <w:rPr>
          <w:rFonts w:ascii="等线(中文正文)" w:hAnsi="等线(中文正文)" w:cs="等线(中文正文)" w:eastAsia="等线(中文正文)"/>
          <w:b w:val="false"/>
          <w:i w:val="false"/>
          <w:sz w:val="20"/>
        </w:rPr>
        <w:t/>
      </w:r>
    </w:p>
    <w:p>
      <w:pPr>
        <w:pStyle w:val="ab"/>
        <w:numPr>
          <w:numId w:val="15"/>
        </w:numPr>
      </w:pPr>
      <w:r>
        <w:t>45:50 AIDC业务拓展与核心竞争力提升策略</w:t>
      </w:r>
    </w:p>
    <w:p>
      <w:r>
        <w:rPr>
          <w:rFonts w:ascii="等线(中文正文)" w:hAnsi="等线(中文正文)" w:cs="等线(中文正文)" w:eastAsia="等线(中文正文)"/>
          <w:b w:val="false"/>
          <w:i w:val="false"/>
          <w:sz w:val="20"/>
        </w:rPr>
        <w:t>对话讨论了AIDC业务的订单预期、盈利水平及增强核心竞争力的策略，提及东南亚、中东、北非和北美市场的目标客户，强调与头部云端服务公司合作，以及在全球投资策略上的跟随大客户策略。同时，AIDK业务聚焦燃气轮普及、数据中心冷却系统整合资源，与电力公司合作布局海外项目，形成解决方案与产品配套，但未将AIDC定为主要赛道，各事业部协力布局大客户需求。</w:t>
      </w:r>
    </w:p>
    <w:p>
      <w:r>
        <w:rPr>
          <w:rFonts w:ascii="等线(中文正文)" w:hAnsi="等线(中文正文)" w:cs="等线(中文正文)" w:eastAsia="等线(中文正文)"/>
          <w:b w:val="false"/>
          <w:i w:val="false"/>
          <w:sz w:val="20"/>
        </w:rPr>
        <w:t/>
      </w:r>
    </w:p>
    <w:p>
      <w:pPr>
        <w:pStyle w:val="ab"/>
        <w:numPr>
          <w:numId w:val="16"/>
        </w:numPr>
      </w:pPr>
      <w:r>
        <w:t>49:07 光伏大单进展与未来订单规模讨论</w:t>
      </w:r>
    </w:p>
    <w:p>
      <w:r>
        <w:rPr>
          <w:rFonts w:ascii="等线(中文正文)" w:hAnsi="等线(中文正文)" w:cs="等线(中文正文)" w:eastAsia="等线(中文正文)"/>
          <w:b w:val="false"/>
          <w:i w:val="false"/>
          <w:sz w:val="20"/>
        </w:rPr>
        <w:t>对话围绕光伏大单的进展与未来订单规模展开。提到今年年底可能有部分交付，销售收入将逐步体现。关于后续订单规模，表示一切皆有可能，目前正与客户讨论具体细节，未来订单规模可能大于或小于今年年初的规模。</w:t>
      </w:r>
    </w:p>
    <w:p>
      <w:r>
        <w:rPr>
          <w:rFonts w:ascii="等线(中文正文)" w:hAnsi="等线(中文正文)" w:cs="等线(中文正文)" w:eastAsia="等线(中文正文)"/>
          <w:b w:val="false"/>
          <w:i w:val="false"/>
          <w:sz w:val="20"/>
        </w:rPr>
        <w:t/>
      </w:r>
    </w:p>
    <w:p>
      <w:pPr>
        <w:pStyle w:val="ab"/>
        <w:numPr>
          <w:numId w:val="17"/>
        </w:numPr>
      </w:pPr>
      <w:r>
        <w:t>51:46 产能扩张与产值规划：现有布局与未来展望</w:t>
      </w:r>
    </w:p>
    <w:p>
      <w:r>
        <w:rPr>
          <w:rFonts w:ascii="等线(中文正文)" w:hAnsi="等线(中文正文)" w:cs="等线(中文正文)" w:eastAsia="等线(中文正文)"/>
          <w:b w:val="false"/>
          <w:i w:val="false"/>
          <w:sz w:val="20"/>
        </w:rPr>
        <w:t>对话围绕产能扩张与产值规划展开，强调国内产能无大瓶颈，现有如皋工厂及泰国、上海基地正积极开发，人力资源已前置准备。未来根据订单需求，产能投资一切皆有可能，当前保持乐观态度，无明确限制。</w:t>
      </w:r>
    </w:p>
    <w:p>
      <w:r>
        <w:rPr>
          <w:rFonts w:ascii="等线(中文正文)" w:hAnsi="等线(中文正文)" w:cs="等线(中文正文)" w:eastAsia="等线(中文正文)"/>
          <w:b w:val="false"/>
          <w:i w:val="false"/>
          <w:sz w:val="20"/>
        </w:rPr>
        <w:t/>
      </w:r>
    </w:p>
    <w:p>
      <w:pPr>
        <w:pStyle w:val="ab"/>
        <w:numPr>
          <w:numId w:val="18"/>
        </w:numPr>
      </w:pPr>
      <w:r>
        <w:t>54:40 医药板块市场分析与未来展望</w:t>
      </w:r>
    </w:p>
    <w:p>
      <w:r>
        <w:rPr>
          <w:rFonts w:ascii="等线(中文正文)" w:hAnsi="等线(中文正文)" w:cs="等线(中文正文)" w:eastAsia="等线(中文正文)"/>
          <w:b w:val="false"/>
          <w:i w:val="false"/>
          <w:sz w:val="20"/>
        </w:rPr>
        <w:t>对话围绕医药板块上半年各区域占比、细分治疗领域及项目类型展开，讨论了医药全年稳定性和下半年趋势，强调了大客户的重要性及其全球布局。针对下游竞争态势、利润率拆分及未来毛利率和费用率的合理中枢进行了探讨，展现了医药行业的竞争格局与财务健康度分析。</w:t>
      </w:r>
    </w:p>
    <w:p>
      <w:r>
        <w:rPr>
          <w:rFonts w:ascii="等线(中文正文)" w:hAnsi="等线(中文正文)" w:cs="等线(中文正文)" w:eastAsia="等线(中文正文)"/>
          <w:b w:val="false"/>
          <w:i w:val="false"/>
          <w:sz w:val="20"/>
        </w:rPr>
        <w:t/>
      </w:r>
    </w:p>
    <w:p>
      <w:pPr>
        <w:pStyle w:val="a7"/>
      </w:pPr>
      <w:r>
        <w:t>发言总结</w:t>
      </w:r>
    </w:p>
    <w:p>
      <w:pPr>
        <w:pStyle w:val="ab"/>
        <w:numPr>
          <w:numId w:val="19"/>
        </w:numPr>
      </w:pPr>
      <w:r>
        <w:t>发言人1</w:t>
      </w:r>
    </w:p>
    <w:p>
      <w:r>
        <w:rPr>
          <w:rFonts w:ascii="等线(中文正文)" w:hAnsi="等线(中文正文)" w:cs="等线(中文正文)" w:eastAsia="等线(中文正文)"/>
          <w:b w:val="false"/>
          <w:i w:val="false"/>
          <w:sz w:val="20"/>
        </w:rPr>
        <w:t>强调了会议内容的保密性，明确指出PPT音频及文字记录仅供参会者内部使用，提醒公众注意未经授权转载的法律风险。同时，他警示市场有风险，投资需谨慎，对投资者作出决策提出警告。发言开始，他对管理层进行了介绍，并回顾了2026年上半年公司业绩，指出面对的挑战包括阶段性亏损、外汇敞口增加导致的汇兑损益、销售费用率上升、国内项目形势恢复不如预期及部分项目收入转化进度落后等。尽管面临诸多困难，他表示公司对未来保持乐观，认为这是管理层的一次警示和经验，能促使公司更加谨慎地规划未来。他指出，尽管上半年出现阶段性亏损，但新签订单总额及在手订单创历史新高，显示出良好的增长潜力。在产品方面，电子化学品、能源和制药行业均取得了显著进展。面对挑战，他表示公司有信心通过采取一系列措施，如加强风控、优化成本结构、深耕客户需求等，克服当前困境，实现长期增长。最后，他提醒投资者关注公司的战略布局和业务多元化，以及公司在全球市场中的地位和增长潜力。</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问：森松国际当前的订单情况如何？森松国际如何看待未来的发展和增长点？</w:t>
      </w:r>
    </w:p>
    <w:p>
      <w:r>
        <w:rPr>
          <w:rFonts w:ascii="等线(中文正文)" w:hAnsi="等线(中文正文)" w:cs="等线(中文正文)" w:eastAsia="等线(中文正文)"/>
          <w:b w:val="false"/>
          <w:i w:val="false"/>
          <w:sz w:val="20"/>
        </w:rPr>
        <w:t>发言人1 答：今年上半年，森松国际新签订单总额同比增长超过95%，达到117亿人民币，创历史新高。在手订单约为155亿人民币，同比增幅接近50%。经过拆解和审议机构商议，暂时没有收入转化预期的订单统计在内，在手合同金额实际上达到了190亿人民币左右。订单结构中，电子化学品方面取得显著收获，能源行业表现良好，尽管制药行业的订单数据相比去年同期有所下滑，但仍是历史上的第二高。其中，北美、中东等主要市场的传统能源和新能源行业需求旺盛，以及可持续能源项目也带来了新的增长点。森松国际坚信未来几年传统能源、新能源和可持续能源领域的全球需求将为其带来重要的增长动能。公司将继续锁定这些领域的优质客户，提供成熟可靠的产品和服务。同时，在欧洲和日本不断出现的关于可持续能源项目的需求，如生物质原材料加工和工业材料回收循环，也符合绿色发展的主题，并成为公司多元化策略的重要组成部分。</w:t>
      </w:r>
    </w:p>
    <w:p>
      <w:r>
        <w:rPr>
          <w:rFonts w:ascii="等线(中文正文)" w:hAnsi="等线(中文正文)" w:cs="等线(中文正文)" w:eastAsia="等线(中文正文)"/>
          <w:b w:val="false"/>
          <w:i w:val="false"/>
          <w:sz w:val="20"/>
        </w:rPr>
        <w:t/>
      </w:r>
    </w:p>
    <w:p>
      <w:pPr>
        <w:pStyle w:val="ab"/>
      </w:pPr>
      <w:r>
        <w:t>发言人1 问：森松国际在制药行业和其他领域的订单状况如何？森松国际在服务客户方面的战略和布局是怎样的？</w:t>
      </w:r>
    </w:p>
    <w:p>
      <w:r>
        <w:rPr>
          <w:rFonts w:ascii="等线(中文正文)" w:hAnsi="等线(中文正文)" w:cs="等线(中文正文)" w:eastAsia="等线(中文正文)"/>
          <w:b w:val="false"/>
          <w:i w:val="false"/>
          <w:sz w:val="20"/>
        </w:rPr>
        <w:t>发言人1 答：尽管制药行业的整体订单金额有所下滑，但在北美医药行业制造业回流及头部药企全球资本开支项目等方面取得了较大收获。此外，公司在AIDC领域也成功获得了全球头部CSP在东南亚的项目订单，并将持续努力提升解决方案的价值属性和全球化服务中心地位。森松国际致力于贴近客户需求，从提供核心工艺装备到成套装备，再到整体解决方案和服务，不断延伸产业链。公司深度参与客户的研发立项和技术经济模型搭建，以及后期的现场技术支持、运营优化和工艺改善。通过这两句话（利润空间取决于为客户创造多少价值，离客户越近利润空间越大）生动实践微笑曲线战略，让申通的产品和服务深度结合，实现解决方案与全周期运营制度绑定。</w:t>
      </w:r>
    </w:p>
    <w:p>
      <w:r>
        <w:rPr>
          <w:rFonts w:ascii="等线(中文正文)" w:hAnsi="等线(中文正文)" w:cs="等线(中文正文)" w:eastAsia="等线(中文正文)"/>
          <w:b w:val="false"/>
          <w:i w:val="false"/>
          <w:sz w:val="20"/>
        </w:rPr>
        <w:t/>
      </w:r>
    </w:p>
    <w:p>
      <w:pPr>
        <w:pStyle w:val="ab"/>
      </w:pPr>
      <w:r>
        <w:t>发言人1 问：森松国际如何应对汇率风险？森松国际当前经营状况如何？</w:t>
      </w:r>
    </w:p>
    <w:p>
      <w:r>
        <w:rPr>
          <w:rFonts w:ascii="等线(中文正文)" w:hAnsi="等线(中文正文)" w:cs="等线(中文正文)" w:eastAsia="等线(中文正文)"/>
          <w:b w:val="false"/>
          <w:i w:val="false"/>
          <w:sz w:val="20"/>
        </w:rPr>
        <w:t>发言人1 答：考虑到海外业务占比已超过95%，森松国际在接洽外贸订单时，大部分采用人民币结算以规避汇率浮动带来的风险。公司并未在外汇市场进行对冲交易，而是选择与客户真诚沟通，争取更多以人民币结算的合同，确保最大程度地规避汇率风险。公司合约负债从2020年底的12.2亿增加到了23.4亿，且经营现金流较去年年底的3.46亿增长超过200%。这两组数据反映了公司经营现状良好，未来发展前景可期。</w:t>
      </w:r>
    </w:p>
    <w:p>
      <w:r>
        <w:rPr>
          <w:rFonts w:ascii="等线(中文正文)" w:hAnsi="等线(中文正文)" w:cs="等线(中文正文)" w:eastAsia="等线(中文正文)"/>
          <w:b w:val="false"/>
          <w:i w:val="false"/>
          <w:sz w:val="20"/>
        </w:rPr>
        <w:t/>
      </w:r>
    </w:p>
    <w:p>
      <w:pPr>
        <w:pStyle w:val="ab"/>
      </w:pPr>
      <w:r>
        <w:t>发言人1 问：2026年上半年森松国际的业绩表现及亏损原因是什么？</w:t>
      </w:r>
    </w:p>
    <w:p>
      <w:r>
        <w:rPr>
          <w:rFonts w:ascii="等线(中文正文)" w:hAnsi="等线(中文正文)" w:cs="等线(中文正文)" w:eastAsia="等线(中文正文)"/>
          <w:b w:val="false"/>
          <w:i w:val="false"/>
          <w:sz w:val="20"/>
        </w:rPr>
        <w:t>发言人1 答：2026年上半年，森松国际面临了前所未有的坎坷和挑战，同时也展现出希望。公司出现了阶段性亏损，亏损金额约为1.57亿人民币。亏损的主要原因包括：1) 海外业务占比急速增长导致外汇敞口增加，产生约1亿人民币的汇兑损益；2) 销售费用率从3.2%增长到5%；3) 管理费用因订单和经营规模增长而增长了30%；4) 国内项目形势恢复不如预期，历史遗留问题影响了应收预应收账款和司法诉讼阶段的合同争议项目的处理，具体金额高于预期达到8600万人民币；5) 由于中东地区尤其是霍尔木兹海峡周边地区爆发热战，约有2亿人民币的项目无法发货，影响了预期收入和利润结算；6) 2025年度部分行业预期毛利未达预期，以及部分石化行业和游戏行业的订单执行进度落后于预期，导致整体毛利率下降。</w:t>
      </w:r>
    </w:p>
    <w:p>
      <w:r>
        <w:rPr>
          <w:rFonts w:ascii="等线(中文正文)" w:hAnsi="等线(中文正文)" w:cs="等线(中文正文)" w:eastAsia="等线(中文正文)"/>
          <w:b w:val="false"/>
          <w:i w:val="false"/>
          <w:sz w:val="20"/>
        </w:rPr>
        <w:t/>
      </w:r>
    </w:p>
    <w:p>
      <w:pPr>
        <w:pStyle w:val="ab"/>
      </w:pPr>
      <w:r>
        <w:t>发言人1 问：今年您在一月年报业绩交流会时提出，业绩、气候、能源和材料板块的表现如何？是否在过去两个月中持续保持强劲趋势？</w:t>
      </w:r>
    </w:p>
    <w:p>
      <w:r>
        <w:rPr>
          <w:rFonts w:ascii="等线(中文正文)" w:hAnsi="等线(中文正文)" w:cs="等线(中文正文)" w:eastAsia="等线(中文正文)"/>
          <w:b w:val="false"/>
          <w:i w:val="false"/>
          <w:sz w:val="20"/>
        </w:rPr>
        <w:t>发言人1 答：自三月份业绩会以来，我们的订单持续增加，主要来自海外地区，如北美、中东、北非以及部分欧洲地区。特别是在新能源、光伏、传统油气及锂电相关产品领域，特别是在北美地区，订单持续增长。目前关注的大订单涉及核心设备，并将持续3到4年。后续我们会与客户紧密沟通，接洽包括模块产品、采购、技术服务和北美延伸服务等一系列事项。</w:t>
      </w:r>
    </w:p>
    <w:p>
      <w:r>
        <w:rPr>
          <w:rFonts w:ascii="等线(中文正文)" w:hAnsi="等线(中文正文)" w:cs="等线(中文正文)" w:eastAsia="等线(中文正文)"/>
          <w:b w:val="false"/>
          <w:i w:val="false"/>
          <w:sz w:val="20"/>
        </w:rPr>
        <w:t/>
      </w:r>
    </w:p>
    <w:p>
      <w:pPr>
        <w:pStyle w:val="ab"/>
      </w:pPr>
      <w:r>
        <w:t>发言人1 问：能源和材料板块的大客户群体是否在扩大？明年和后年的增长压力是否会很大？</w:t>
      </w:r>
    </w:p>
    <w:p>
      <w:r>
        <w:rPr>
          <w:rFonts w:ascii="等线(中文正文)" w:hAnsi="等线(中文正文)" w:cs="等线(中文正文)" w:eastAsia="等线(中文正文)"/>
          <w:b w:val="false"/>
          <w:i w:val="false"/>
          <w:sz w:val="20"/>
        </w:rPr>
        <w:t>发言人1 答：今年上半年基数较高，但我们正在积极布局，包括人员、设计队伍、场地、资源及海外合作伙伴等方面。目前，订单特别是大订单将持续几个月，且公司在进行转型工作，合作伙伴群体将持续扩大，设计队伍能力也将提升，这将为未来大订单的承接打下良好基础。对于能源板块材料业务，尽管当前存在高基数挑战，但全球资本开支项目上的前期设计服务布局对未来大订单前景持乐观态度。</w:t>
      </w:r>
    </w:p>
    <w:p>
      <w:r>
        <w:rPr>
          <w:rFonts w:ascii="等线(中文正文)" w:hAnsi="等线(中文正文)" w:cs="等线(中文正文)" w:eastAsia="等线(中文正文)"/>
          <w:b w:val="false"/>
          <w:i w:val="false"/>
          <w:sz w:val="20"/>
        </w:rPr>
        <w:t/>
      </w:r>
    </w:p>
    <w:p>
      <w:pPr>
        <w:pStyle w:val="ab"/>
      </w:pPr>
      <w:r>
        <w:t>发言人1 问：中医药行的订单客户群体是以MMC终端跨国药企为主还是CDMO为主？CDM的需求今年是否依然强劲？</w:t>
      </w:r>
    </w:p>
    <w:p>
      <w:r>
        <w:rPr>
          <w:rFonts w:ascii="等线(中文正文)" w:hAnsi="等线(中文正文)" w:cs="等线(中文正文)" w:eastAsia="等线(中文正文)"/>
          <w:b w:val="false"/>
          <w:i w:val="false"/>
          <w:sz w:val="20"/>
        </w:rPr>
        <w:t>发言人1 答：客户主要还是全球头部客户和区域头部客户，包含新型头部客户和行业影响力客户。今年制药板块大部分客户来自湖北省TOP 20，并在全球范围内与客户进行广泛合作。关于CDMO产能扩建情况，目前相对较好，客户需求持续且强劲，公司与CDMO企业的合作也将持续动态关注。</w:t>
      </w:r>
    </w:p>
    <w:p>
      <w:r>
        <w:rPr>
          <w:rFonts w:ascii="等线(中文正文)" w:hAnsi="等线(中文正文)" w:cs="等线(中文正文)" w:eastAsia="等线(中文正文)"/>
          <w:b w:val="false"/>
          <w:i w:val="false"/>
          <w:sz w:val="20"/>
        </w:rPr>
        <w:t/>
      </w:r>
    </w:p>
    <w:p>
      <w:pPr>
        <w:pStyle w:val="ab"/>
      </w:pPr>
      <w:r>
        <w:t>发言人1 问：AIDC业务进展如何？是否在跟踪除东南亚国家以外的区域市场项目？目前签约的终端用户及是否有接触其他头部客户？</w:t>
      </w:r>
    </w:p>
    <w:p>
      <w:r>
        <w:rPr>
          <w:rFonts w:ascii="等线(中文正文)" w:hAnsi="等线(中文正文)" w:cs="等线(中文正文)" w:eastAsia="等线(中文正文)"/>
          <w:b w:val="false"/>
          <w:i w:val="false"/>
          <w:sz w:val="20"/>
        </w:rPr>
        <w:t>发言人1 答：公司关注全球头部客户和区域头部客户，AIDC业务布局同样聚焦这些优质客户。目前在项目推进阶段，已有一些重要客户在全球范围内达成合作意向，不仅限于东南亚地区，同时也包括美国、欧洲和南美洲等地。</w:t>
      </w:r>
    </w:p>
    <w:p>
      <w:r>
        <w:rPr>
          <w:rFonts w:ascii="等线(中文正文)" w:hAnsi="等线(中文正文)" w:cs="等线(中文正文)" w:eastAsia="等线(中文正文)"/>
          <w:b w:val="false"/>
          <w:i w:val="false"/>
          <w:sz w:val="20"/>
        </w:rPr>
        <w:t/>
      </w:r>
    </w:p>
    <w:p>
      <w:pPr>
        <w:pStyle w:val="ab"/>
      </w:pPr>
      <w:r>
        <w:t>发言人1 问：公司目前人力资源计划的效果如何？现有订单数量和订单结构是否给现有产能带来挑战？是否存在产能瓶颈限制订单？以及公司的研发方向包括哪些领域？</w:t>
      </w:r>
    </w:p>
    <w:p>
      <w:r>
        <w:rPr>
          <w:rFonts w:ascii="等线(中文正文)" w:hAnsi="等线(中文正文)" w:cs="等线(中文正文)" w:eastAsia="等线(中文正文)"/>
          <w:b w:val="false"/>
          <w:i w:val="false"/>
          <w:sz w:val="20"/>
        </w:rPr>
        <w:t>发言人1 答：过去半年，公司员工数量增长明显，这是基于对未来乐观预期的前置性安排，配合全球化多赛道战略的推进。海外业务占比提升较快，大部分订单来自海外，这对全球化销售、项目执行和工程交付等方面提出了更高要求。目前海外项目落地迅速，现场员工和工程师需求增加，但现有产能尚能满足订单需求，未出现产能瓶颈问题。公司研发方向暂未在问题中明确说明。</w:t>
      </w:r>
    </w:p>
    <w:p>
      <w:r>
        <w:rPr>
          <w:rFonts w:ascii="等线(中文正文)" w:hAnsi="等线(中文正文)" w:cs="等线(中文正文)" w:eastAsia="等线(中文正文)"/>
          <w:b w:val="false"/>
          <w:i w:val="false"/>
          <w:sz w:val="20"/>
        </w:rPr>
        <w:t/>
      </w:r>
    </w:p>
    <w:p>
      <w:pPr>
        <w:pStyle w:val="ab"/>
      </w:pPr>
      <w:r>
        <w:t>发言人1 问：公司全球化投入和新赛道拓展方面的情况如何？</w:t>
      </w:r>
    </w:p>
    <w:p>
      <w:r>
        <w:rPr>
          <w:rFonts w:ascii="等线(中文正文)" w:hAnsi="等线(中文正文)" w:cs="等线(中文正文)" w:eastAsia="等线(中文正文)"/>
          <w:b w:val="false"/>
          <w:i w:val="false"/>
          <w:sz w:val="20"/>
        </w:rPr>
        <w:t>发言人1 答：公司在全球化方面有长期硬性投入，这是竞争的前提条件。在新赛道拓展上，公司正致力于生命科学、高端工艺、电子化产品、绿色能源、可持续能源及模块算力等领域的研发和应用，特别需要补充跨行业技术专家以提升行业技术竞争力。同时，人力资源配置坚持人才与实际相结合的原则，保持弹性与柔性的动态调整。</w:t>
      </w:r>
    </w:p>
    <w:p>
      <w:r>
        <w:rPr>
          <w:rFonts w:ascii="等线(中文正文)" w:hAnsi="等线(中文正文)" w:cs="等线(中文正文)" w:eastAsia="等线(中文正文)"/>
          <w:b w:val="false"/>
          <w:i w:val="false"/>
          <w:sz w:val="20"/>
        </w:rPr>
        <w:t/>
      </w:r>
    </w:p>
    <w:p>
      <w:pPr>
        <w:pStyle w:val="ab"/>
      </w:pPr>
      <w:r>
        <w:t>发言人1 问：公司当前的人力资源投入情况如何，以及对未来订单储备的影响？</w:t>
      </w:r>
    </w:p>
    <w:p>
      <w:r>
        <w:rPr>
          <w:rFonts w:ascii="等线(中文正文)" w:hAnsi="等线(中文正文)" w:cs="等线(中文正文)" w:eastAsia="等线(中文正文)"/>
          <w:b w:val="false"/>
          <w:i w:val="false"/>
          <w:sz w:val="20"/>
        </w:rPr>
        <w:t>发言人1 答：公司坚持长期主义，在所有投资中将人力资源放在首位，尽管管理费用较高，但对人力资源的投资依然较大。这使得公司在困难时期仍能保证对客户承诺的执行力，并由此获得了扎实的订单储备。</w:t>
      </w:r>
    </w:p>
    <w:p>
      <w:r>
        <w:rPr>
          <w:rFonts w:ascii="等线(中文正文)" w:hAnsi="等线(中文正文)" w:cs="等线(中文正文)" w:eastAsia="等线(中文正文)"/>
          <w:b w:val="false"/>
          <w:i w:val="false"/>
          <w:sz w:val="20"/>
        </w:rPr>
        <w:t/>
      </w:r>
    </w:p>
    <w:p>
      <w:pPr>
        <w:pStyle w:val="ab"/>
      </w:pPr>
      <w:r>
        <w:t>发言人1 问：公司的产能瓶颈问题如何解决？</w:t>
      </w:r>
    </w:p>
    <w:p>
      <w:r>
        <w:rPr>
          <w:rFonts w:ascii="等线(中文正文)" w:hAnsi="等线(中文正文)" w:cs="等线(中文正文)" w:eastAsia="等线(中文正文)"/>
          <w:b w:val="false"/>
          <w:i w:val="false"/>
          <w:sz w:val="20"/>
        </w:rPr>
        <w:t>发言人1 答：从订单和订单结构来看，现有产能确实面临一些挑战，但公司已充分预估到这些问题。泰国产能正在全力提升，同时上海产能也进行了适当投入，以物理产能支持当前订单需求，国内核心基地暂无硬性瓶颈。然而，海外产能受限于当地劳工、物流、码头、供应链等配套问题，公司正在努力克服这些困难。</w:t>
      </w:r>
    </w:p>
    <w:p>
      <w:r>
        <w:rPr>
          <w:rFonts w:ascii="等线(中文正文)" w:hAnsi="等线(中文正文)" w:cs="等线(中文正文)" w:eastAsia="等线(中文正文)"/>
          <w:b w:val="false"/>
          <w:i w:val="false"/>
          <w:sz w:val="20"/>
        </w:rPr>
        <w:t/>
      </w:r>
    </w:p>
    <w:p>
      <w:pPr>
        <w:pStyle w:val="ab"/>
      </w:pPr>
      <w:r>
        <w:t>发言人1 问：公司的研发方向是什么？</w:t>
      </w:r>
    </w:p>
    <w:p>
      <w:r>
        <w:rPr>
          <w:rFonts w:ascii="等线(中文正文)" w:hAnsi="等线(中文正文)" w:cs="等线(中文正文)" w:eastAsia="等线(中文正文)"/>
          <w:b w:val="false"/>
          <w:i w:val="false"/>
          <w:sz w:val="20"/>
        </w:rPr>
        <w:t>发言人1 答：公司的研发方向主要有两大主线：一是自身技术迭代，围绕人类事业发展核心技术进行持续投入；二是发展有竞争力的高附加值新赛道，如新型生物反应器、一次性技术、模块化工厂建设、电子与半导体材料设备制造（尤其是高纯度电子化学品制造配套装置）、绿色能源（包括绿氢、绿氨、绿色甲醇）以及算力相关的基础设施建设。</w:t>
      </w:r>
    </w:p>
    <w:p>
      <w:r>
        <w:rPr>
          <w:rFonts w:ascii="等线(中文正文)" w:hAnsi="等线(中文正文)" w:cs="等线(中文正文)" w:eastAsia="等线(中文正文)"/>
          <w:b w:val="false"/>
          <w:i w:val="false"/>
          <w:sz w:val="20"/>
        </w:rPr>
        <w:t/>
      </w:r>
    </w:p>
    <w:p>
      <w:pPr>
        <w:pStyle w:val="ab"/>
      </w:pPr>
      <w:r>
        <w:t>发言人1 问：关于电子化学品业务表现亮眼的问题能否给出进一步解释？</w:t>
      </w:r>
    </w:p>
    <w:p>
      <w:r>
        <w:rPr>
          <w:rFonts w:ascii="等线(中文正文)" w:hAnsi="等线(中文正文)" w:cs="等线(中文正文)" w:eastAsia="等线(中文正文)"/>
          <w:b w:val="false"/>
          <w:i w:val="false"/>
          <w:sz w:val="20"/>
        </w:rPr>
        <w:t>发言人1 答：公司在北美地区和世界其他地区的光伏与新能源产品需求持续增长，目前公司在执行的第一阶段订单只是整个项目的一部分，后续二至五期建设已与客户开始接触并讨论。预计未来几年内，这些阶段性的需求将持续，同时公司在东南亚、澳洲、加拿大等地也在积极拓展业务，新一轮海外光伏建设即将展开。</w:t>
      </w:r>
    </w:p>
    <w:p>
      <w:r>
        <w:rPr>
          <w:rFonts w:ascii="等线(中文正文)" w:hAnsi="等线(中文正文)" w:cs="等线(中文正文)" w:eastAsia="等线(中文正文)"/>
          <w:b w:val="false"/>
          <w:i w:val="false"/>
          <w:sz w:val="20"/>
        </w:rPr>
        <w:t/>
      </w:r>
    </w:p>
    <w:p>
      <w:pPr>
        <w:pStyle w:val="ab"/>
      </w:pPr>
      <w:r>
        <w:t>发言人1 问：我们这些订单会持续性的释放，产能和销售收入的实现是按月考虑的吗？</w:t>
      </w:r>
    </w:p>
    <w:p>
      <w:r>
        <w:rPr>
          <w:rFonts w:ascii="等线(中文正文)" w:hAnsi="等线(中文正文)" w:cs="等线(中文正文)" w:eastAsia="等线(中文正文)"/>
          <w:b w:val="false"/>
          <w:i w:val="false"/>
          <w:sz w:val="20"/>
        </w:rPr>
        <w:t>发言人1 答：是的，我们的订单是持续性释放的，产能和销售收入的实现主要是按照月度来进行规划，这样可以避免出现大的波动高峰。</w:t>
      </w:r>
    </w:p>
    <w:p>
      <w:r>
        <w:rPr>
          <w:rFonts w:ascii="等线(中文正文)" w:hAnsi="等线(中文正文)" w:cs="等线(中文正文)" w:eastAsia="等线(中文正文)"/>
          <w:b w:val="false"/>
          <w:i w:val="false"/>
          <w:sz w:val="20"/>
        </w:rPr>
        <w:t/>
      </w:r>
    </w:p>
    <w:p>
      <w:pPr>
        <w:pStyle w:val="ab"/>
      </w:pPr>
      <w:r>
        <w:t>发言人1 问：唐总，能否从生命科技角度介绍一下订单收入转化率的情况？</w:t>
      </w:r>
    </w:p>
    <w:p>
      <w:r>
        <w:rPr>
          <w:rFonts w:ascii="等线(中文正文)" w:hAnsi="等线(中文正文)" w:cs="等线(中文正文)" w:eastAsia="等线(中文正文)"/>
          <w:b w:val="false"/>
          <w:i w:val="false"/>
          <w:sz w:val="20"/>
        </w:rPr>
        <w:t>发言人1 答：当前订单收入转化率与之前类似，但有所变化。前几年国内和国外订单各占一半，而现在国外订单占比达到七八成。以前订单从签到收入确认的时间较短，大约第二个月就能达到1亿左右，而现在与欧美客户的项目周期延长至1到2年，导致订单到收入的转化时间拉长，从而影响了订单收入转化率的表现。不过，我们通过TOC项目和TOC二级公司进行管理，制造方面的情况相对稳定。</w:t>
      </w:r>
    </w:p>
    <w:p>
      <w:r>
        <w:rPr>
          <w:rFonts w:ascii="等线(中文正文)" w:hAnsi="等线(中文正文)" w:cs="等线(中文正文)" w:eastAsia="等线(中文正文)"/>
          <w:b w:val="false"/>
          <w:i w:val="false"/>
          <w:sz w:val="20"/>
        </w:rPr>
        <w:t/>
      </w:r>
    </w:p>
    <w:p>
      <w:pPr>
        <w:pStyle w:val="ab"/>
      </w:pPr>
      <w:r>
        <w:t>发言人1 问：公司过去提供建造类高端制造服务，现在服务范围扩大后，订单生命周期是否会变长？</w:t>
      </w:r>
    </w:p>
    <w:p>
      <w:r>
        <w:rPr>
          <w:rFonts w:ascii="等线(中文正文)" w:hAnsi="等线(中文正文)" w:cs="等线(中文正文)" w:eastAsia="等线(中文正文)"/>
          <w:b w:val="false"/>
          <w:i w:val="false"/>
          <w:sz w:val="20"/>
        </w:rPr>
        <w:t>发言人1 答：是的，随着服务范围扩大，现在在美国及国外现场提供前期和后期服务，订单生命周期变长。过去在国内做纯建造项目时，一年左右可转化成收入，而现在在国外提供更全面的服务，整个订单生命周期更长，但收入确认仍采用完工百分比法。即便订单金额扩大，每月确认的收入金额也不会减少。</w:t>
      </w:r>
    </w:p>
    <w:p>
      <w:r>
        <w:rPr>
          <w:rFonts w:ascii="等线(中文正文)" w:hAnsi="等线(中文正文)" w:cs="等线(中文正文)" w:eastAsia="等线(中文正文)"/>
          <w:b w:val="false"/>
          <w:i w:val="false"/>
          <w:sz w:val="20"/>
        </w:rPr>
        <w:t/>
      </w:r>
    </w:p>
    <w:p>
      <w:pPr>
        <w:pStyle w:val="ab"/>
      </w:pPr>
      <w:r>
        <w:t>发言人1 问：对于新能源项目，能否透露一下第一次订单何时能完成交货，以及后续订单交付时间表？</w:t>
      </w:r>
    </w:p>
    <w:p>
      <w:r>
        <w:rPr>
          <w:rFonts w:ascii="等线(中文正文)" w:hAnsi="等线(中文正文)" w:cs="等线(中文正文)" w:eastAsia="等线(中文正文)"/>
          <w:b w:val="false"/>
          <w:i w:val="false"/>
          <w:sz w:val="20"/>
        </w:rPr>
        <w:t>发言人1 答：第一期交付预计从今年年底开始，将持续到后年年中。第二期将在明年年初启动，与第一期有重叠，三期和二期也有重叠。预计四期项目将在五年内全部建设完成。同时，公司在接单时充分考虑了资源和合规性，确保销售收入逐步释放。</w:t>
      </w:r>
    </w:p>
    <w:p>
      <w:r>
        <w:rPr>
          <w:rFonts w:ascii="等线(中文正文)" w:hAnsi="等线(中文正文)" w:cs="等线(中文正文)" w:eastAsia="等线(中文正文)"/>
          <w:b w:val="false"/>
          <w:i w:val="false"/>
          <w:sz w:val="20"/>
        </w:rPr>
        <w:t/>
      </w:r>
    </w:p>
    <w:p>
      <w:pPr>
        <w:pStyle w:val="ab"/>
      </w:pPr>
      <w:r>
        <w:t>发言人1 问：公司是否有对未来三年业绩的增长指引或目标？</w:t>
      </w:r>
    </w:p>
    <w:p>
      <w:r>
        <w:rPr>
          <w:rFonts w:ascii="等线(中文正文)" w:hAnsi="等线(中文正文)" w:cs="等线(中文正文)" w:eastAsia="等线(中文正文)"/>
          <w:b w:val="false"/>
          <w:i w:val="false"/>
          <w:sz w:val="20"/>
        </w:rPr>
        <w:t>发言人1 答：目前，公司预计未来三年业绩会非常乐观和强劲，虽然无法给出具体量化数据，但会在今年下半年更详细地报告。现在希望利用有利的市场环境，夯实确定性，并保持与市场的沟通，以便投资者对未来有更好的理解。</w:t>
      </w:r>
    </w:p>
    <w:p>
      <w:r>
        <w:rPr>
          <w:rFonts w:ascii="等线(中文正文)" w:hAnsi="等线(中文正文)" w:cs="等线(中文正文)" w:eastAsia="等线(中文正文)"/>
          <w:b w:val="false"/>
          <w:i w:val="false"/>
          <w:sz w:val="20"/>
        </w:rPr>
        <w:t/>
      </w:r>
    </w:p>
    <w:p>
      <w:pPr>
        <w:pStyle w:val="ab"/>
      </w:pPr>
      <w:r>
        <w:t>发言人1 问：AIDC方面，目前获得的第一家订单后续预期和盈利水平如何？以及公司将如何增强核心竞争力？</w:t>
      </w:r>
    </w:p>
    <w:p>
      <w:r>
        <w:rPr>
          <w:rFonts w:ascii="等线(中文正文)" w:hAnsi="等线(中文正文)" w:cs="等线(中文正文)" w:eastAsia="等线(中文正文)"/>
          <w:b w:val="false"/>
          <w:i w:val="false"/>
          <w:sz w:val="20"/>
        </w:rPr>
        <w:t>发言人1 答：目前AIDC业务已获得首个订单，后续订单预期和盈利水平将根据客户需求和技术趋势进行布局。公司将持续关注全球投资策略中的头部云端服务公司，并围绕大客户的全球需求提供解决方案和产品。同时，AIDC业务主要集中在燃气轮机普及、整合资源（如数据中心、冷却系统等）三个方面，并非作为主要赛道，而是与其他事业部协力推进。</w:t>
      </w:r>
    </w:p>
    <w:p>
      <w:r>
        <w:rPr>
          <w:rFonts w:ascii="等线(中文正文)" w:hAnsi="等线(中文正文)" w:cs="等线(中文正文)" w:eastAsia="等线(中文正文)"/>
          <w:b w:val="false"/>
          <w:i w:val="false"/>
          <w:sz w:val="20"/>
        </w:rPr>
        <w:t/>
      </w:r>
    </w:p>
    <w:p>
      <w:pPr>
        <w:pStyle w:val="ab"/>
      </w:pPr>
      <w:r>
        <w:t>发言人1 问：我们能否给一个大概产能扩张的时间表，还有就是一个具体的一个大概产值规划？</w:t>
      </w:r>
    </w:p>
    <w:p>
      <w:r>
        <w:rPr>
          <w:rFonts w:ascii="等线(中文正文)" w:hAnsi="等线(中文正文)" w:cs="等线(中文正文)" w:eastAsia="等线(中文正文)"/>
          <w:b w:val="false"/>
          <w:i w:val="false"/>
          <w:sz w:val="20"/>
        </w:rPr>
        <w:t>发言人1 答：关于产能扩张的时间表和产值规划，我们结合现有情况和配套订单需求，物理产能在中国国内不存在大的瓶颈。前期我们已进行产能布局安排，例如利用好现有的南通如皋工厂，并且人力资源配套方面已有积极准备和前置性布局，能够支撑未来的订单转化所需的刚性支持。关于具体阶段和工厂建设的产值规划，由于涉及敏感信息和项目细节，目前还在与客户紧密讨论中，一切皆有可能。</w:t>
      </w:r>
    </w:p>
    <w:p>
      <w:r>
        <w:rPr>
          <w:rFonts w:ascii="等线(中文正文)" w:hAnsi="等线(中文正文)" w:cs="等线(中文正文)" w:eastAsia="等线(中文正文)"/>
          <w:b w:val="false"/>
          <w:i w:val="false"/>
          <w:sz w:val="20"/>
        </w:rPr>
        <w:t/>
      </w:r>
    </w:p>
    <w:p>
      <w:pPr>
        <w:pStyle w:val="ab"/>
      </w:pPr>
      <w:r>
        <w:t>发言人1 问：上半年医药各个区域的占比情况及下游细分治疗领域或项目类型？</w:t>
      </w:r>
    </w:p>
    <w:p>
      <w:r>
        <w:rPr>
          <w:rFonts w:ascii="等线(中文正文)" w:hAnsi="等线(中文正文)" w:cs="等线(中文正文)" w:eastAsia="等线(中文正文)"/>
          <w:b w:val="false"/>
          <w:i w:val="false"/>
          <w:sz w:val="20"/>
        </w:rPr>
        <w:t>发言人1 答：上半年医药业务中，各区域占比情况相对稳定，未提供具体数字。下游细分治疗领域主要包括抗体类药物、胰岛素等，在全球多个地区如欧洲、美国、新加坡及中国都有涉及，并且与多个大型客户合作。今年医药板块销售情况相比去年将保持稳健增长，其中包含一些新签订单和产品收入的平衡管控。目前，欧美地区尤其是美国市场最为活跃，日本市场也保持稳定状态，而欧洲市场则处于快速发展阶段。整个医药板块当前呈现出多元化发展的态势。</w:t>
      </w:r>
    </w:p>
    <w:p>
      <w:r>
        <w:rPr>
          <w:rFonts w:ascii="等线(中文正文)" w:hAnsi="等线(中文正文)" w:cs="等线(中文正文)" w:eastAsia="等线(中文正文)"/>
          <w:b w:val="false"/>
          <w:i w:val="false"/>
          <w:sz w:val="20"/>
        </w:rPr>
        <w:t/>
      </w:r>
    </w:p>
    <w:p>
      <w:pPr>
        <w:pStyle w:val="ab"/>
      </w:pPr>
      <w:r>
        <w:t>发言人1 问：公司如何看待当下游各板块的竞争态势，并能否拆分各板块的利润率？</w:t>
      </w:r>
    </w:p>
    <w:p>
      <w:r>
        <w:rPr>
          <w:rFonts w:ascii="等线(中文正文)" w:hAnsi="等线(中文正文)" w:cs="等线(中文正文)" w:eastAsia="等线(中文正文)"/>
          <w:b w:val="false"/>
          <w:i w:val="false"/>
          <w:sz w:val="20"/>
        </w:rPr>
        <w:t>发言人1 答：我们正在对下游各板块的竞争态势进行评估，并将根据评估结果进一步分析各板块的利润率。此外，我们也期望在未来提供关于合理毛利率和费用率中枢的展望，但具体数据和分析还需待进一步研究和确定。</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