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聚和材料2026年半年度业绩说明会 260827_导读</w:t>
      </w:r>
    </w:p>
    <w:p>
      <w:pPr>
        <w:pStyle w:val="a0"/>
        <w:jc w:val="center"/>
      </w:pPr>
      <w:r>
        <w:t>2026年08月27日 22:07</w:t>
      </w:r>
    </w:p>
    <w:p>
      <w:pPr>
        <w:pStyle w:val="a7"/>
      </w:pPr>
      <w:r>
        <w:t>关键词</w:t>
      </w:r>
    </w:p>
    <w:p>
      <w:r>
        <w:rPr>
          <w:rFonts w:ascii="等线(中文正文)" w:hAnsi="等线(中文正文)" w:cs="等线(中文正文)" w:eastAsia="等线(中文正文)"/>
          <w:b w:val="false"/>
          <w:i w:val="false"/>
          <w:sz w:val="20"/>
        </w:rPr>
        <w:t xml:space="preserve">出口退税 银价波动 净利润 营业收入 光伏导电浆料 海外供应链 原材料采购 毛利率 存货跌价 衍生品工具 出货量 现金管理 无银化技术 客户粘性 供应链本地化 回款周期 票据贴现 经营韧性 全球化销售 政策调整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在2026年半年度业绩交流会上，公司财务负责人详细汇报了经营状况。面对贵金属价格反弹、出口退税政策调整、银价波动及行业需求疲软等挑战，上半年营业收入同比增长64.75%，但归母净利润同比下降147.9%，扣非后归母净利润同比下降38.37%。特别指出，出口业务因增值税政策调整受影响，银价波动对毛利率及净利润产生负面影响。公司采取措施，加强供应链管理，并加快在半导体材料领域的布局，以应对未来挑战。</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2026年上半年业绩交流：出口退税政策影响与应对策略</w:t>
      </w:r>
    </w:p>
    <w:p>
      <w:r>
        <w:rPr>
          <w:rFonts w:ascii="等线(中文正文)" w:hAnsi="等线(中文正文)" w:cs="等线(中文正文)" w:eastAsia="等线(中文正文)"/>
          <w:b w:val="false"/>
          <w:i w:val="false"/>
          <w:sz w:val="20"/>
        </w:rPr>
        <w:t>2026年上半年，公司实现营业收入106.02亿元，同比增长64.75%，但归母净利润为负0.86亿元，同比下降147.9%。业绩下滑主要受出口退税政策取消影响，导致上半年至少1.5亿元亏损。公司坚持履约精神，调整销售策略，如采用进口银锭、加税报价等，以转移成本。尽管二季度海外出货量环比下滑，但海外业务占比20%，市占率领先，客户粘性高，预计下半年盈利将改善。</w:t>
      </w:r>
    </w:p>
    <w:p>
      <w:r>
        <w:rPr>
          <w:rFonts w:ascii="等线(中文正文)" w:hAnsi="等线(中文正文)" w:cs="等线(中文正文)" w:eastAsia="等线(中文正文)"/>
          <w:b w:val="false"/>
          <w:i w:val="false"/>
          <w:sz w:val="20"/>
        </w:rPr>
        <w:t/>
      </w:r>
    </w:p>
    <w:p>
      <w:pPr>
        <w:pStyle w:val="ab"/>
        <w:numPr>
          <w:numId w:val="2"/>
        </w:numPr>
      </w:pPr>
      <w:r>
        <w:t>05:19 公司应对银价波动与海外供应链调整策略</w:t>
      </w:r>
    </w:p>
    <w:p>
      <w:r>
        <w:rPr>
          <w:rFonts w:ascii="等线(中文正文)" w:hAnsi="等线(中文正文)" w:cs="等线(中文正文)" w:eastAsia="等线(中文正文)"/>
          <w:b w:val="false"/>
          <w:i w:val="false"/>
          <w:sz w:val="20"/>
        </w:rPr>
        <w:t>公司面对海外供应链调整、新配方产品导入及银价剧烈波动等挑战，采取了多元化采购、全球供应链布局及衍生品工具等策略，以保障原材料供应稳定，提升经营韧性。尽管上半年银价下跌对公司毛利率和净利润造成负面影响，但通过成本控制和库存管理，公司业绩仍保持稳健。随着银价企稳回升，公司经营正逐步回归健康轨道。</w:t>
      </w:r>
    </w:p>
    <w:p>
      <w:r>
        <w:rPr>
          <w:rFonts w:ascii="等线(中文正文)" w:hAnsi="等线(中文正文)" w:cs="等线(中文正文)" w:eastAsia="等线(中文正文)"/>
          <w:b w:val="false"/>
          <w:i w:val="false"/>
          <w:sz w:val="20"/>
        </w:rPr>
        <w:t/>
      </w:r>
    </w:p>
    <w:p>
      <w:pPr>
        <w:pStyle w:val="ab"/>
        <w:numPr>
          <w:numId w:val="3"/>
        </w:numPr>
      </w:pPr>
      <w:r>
        <w:t>13:47 光伏导电浆料行业经营情况与技术迭代分析</w:t>
      </w:r>
    </w:p>
    <w:p>
      <w:r>
        <w:rPr>
          <w:rFonts w:ascii="等线(中文正文)" w:hAnsi="等线(中文正文)" w:cs="等线(中文正文)" w:eastAsia="等线(中文正文)"/>
          <w:b w:val="false"/>
          <w:i w:val="false"/>
          <w:sz w:val="20"/>
        </w:rPr>
        <w:t>光伏行业主产业链产能出清，下游客户经营承压，全球光伏装机预计2025年下降，国内上半年光伏装机规模同比下降66%。行业龙头地位稳固，但受需求波动影响，上半年光伏导电浆料出货量下滑超30%。公司致力于技术研发，推动小型化、无银化技术，提供少银化、无银化解决方案，与头部客户积极合作，预计下半年至明年技术迭代将有明显进展。</w:t>
      </w:r>
    </w:p>
    <w:p>
      <w:r>
        <w:rPr>
          <w:rFonts w:ascii="等线(中文正文)" w:hAnsi="等线(中文正文)" w:cs="等线(中文正文)" w:eastAsia="等线(中文正文)"/>
          <w:b w:val="false"/>
          <w:i w:val="false"/>
          <w:sz w:val="20"/>
        </w:rPr>
        <w:t/>
      </w:r>
    </w:p>
    <w:p>
      <w:pPr>
        <w:pStyle w:val="ab"/>
        <w:numPr>
          <w:numId w:val="4"/>
        </w:numPr>
      </w:pPr>
      <w:r>
        <w:t>16:00 公司稳健现金管理与行业挑战应对策略</w:t>
      </w:r>
    </w:p>
    <w:p>
      <w:r>
        <w:rPr>
          <w:rFonts w:ascii="等线(中文正文)" w:hAnsi="等线(中文正文)" w:cs="等线(中文正文)" w:eastAsia="等线(中文正文)"/>
          <w:b w:val="false"/>
          <w:i w:val="false"/>
          <w:sz w:val="20"/>
        </w:rPr>
        <w:t>公司维持稳健的现金管理，经营性净现金流与筹资活动基本平衡，自有现金充足，资金安全有保障。资产端，货币基金稳定，应收账款与存货因白银价格上升而增加，资产负债率健康。面对行业挑战，如原材料价格波动和出口退税取消，公司采取优化供应链、加强库存管理、调整采购策略等措施，积极应对。同时，公司加大海外客户对接，推进新产品开发，优化运营管理，提高抗风险能力，预计下半年产品放量，巩固光伏导电材料全球领先地位。</w:t>
      </w:r>
    </w:p>
    <w:p>
      <w:r>
        <w:rPr>
          <w:rFonts w:ascii="等线(中文正文)" w:hAnsi="等线(中文正文)" w:cs="等线(中文正文)" w:eastAsia="等线(中文正文)"/>
          <w:b w:val="false"/>
          <w:i w:val="false"/>
          <w:sz w:val="20"/>
        </w:rPr>
        <w:t/>
      </w:r>
    </w:p>
    <w:p>
      <w:pPr>
        <w:pStyle w:val="ab"/>
        <w:numPr>
          <w:numId w:val="5"/>
        </w:numPr>
      </w:pPr>
      <w:r>
        <w:t>20:11 光伏银浆主业拓展与半导体材料国产化战略</w:t>
      </w:r>
    </w:p>
    <w:p>
      <w:r>
        <w:rPr>
          <w:rFonts w:ascii="等线(中文正文)" w:hAnsi="等线(中文正文)" w:cs="等线(中文正文)" w:eastAsia="等线(中文正文)"/>
          <w:b w:val="false"/>
          <w:i w:val="false"/>
          <w:sz w:val="20"/>
        </w:rPr>
        <w:t>公司在深耕光伏导电银浆主业的同时，积极拓展新能源与电子行业交叉领域的功能材料市场，形成了多品类电子酱料产品体系。上半年，子公司实现营收超1.3亿，同比增长224%，成功突破高端电影酱料技术壁垒，打破海外垄断。公司计划利用现有资源，开发非光伏领域功能材料，实现上下游市场深度协同，构筑长期竞争壁垒。未来，公司将秉承稳健理念，推动业务健康发展，拓展第二增长曲线，如半导体材料国产化，已完成对SKE空白页模板业务的交割，顺应AI高性能计算需求，加速国产替代，国产化空间广阔。</w:t>
      </w:r>
    </w:p>
    <w:p>
      <w:r>
        <w:rPr>
          <w:rFonts w:ascii="等线(中文正文)" w:hAnsi="等线(中文正文)" w:cs="等线(中文正文)" w:eastAsia="等线(中文正文)"/>
          <w:b w:val="false"/>
          <w:i w:val="false"/>
          <w:sz w:val="20"/>
        </w:rPr>
        <w:t/>
      </w:r>
    </w:p>
    <w:p>
      <w:pPr>
        <w:pStyle w:val="ab"/>
        <w:numPr>
          <w:numId w:val="6"/>
        </w:numPr>
      </w:pPr>
      <w:r>
        <w:t>22:40 半导体材料国产替代战略与产能布局</w:t>
      </w:r>
    </w:p>
    <w:p>
      <w:r>
        <w:rPr>
          <w:rFonts w:ascii="等线(中文正文)" w:hAnsi="等线(中文正文)" w:cs="等线(中文正文)" w:eastAsia="等线(中文正文)"/>
          <w:b w:val="false"/>
          <w:i w:val="false"/>
          <w:sz w:val="20"/>
        </w:rPr>
        <w:t>对话围绕半导体材料国产替代的战略展开，详细介绍了上海总部建设、产能规划、韩国产能整合与国产化供应商开发等进展，强调了核心技术攻关、专业人才培养与下游客户验证合作的重要性，旨在推动国内半导体材料的国产化替代进程，打造公司第二增长曲线。</w:t>
      </w:r>
    </w:p>
    <w:p>
      <w:r>
        <w:rPr>
          <w:rFonts w:ascii="等线(中文正文)" w:hAnsi="等线(中文正文)" w:cs="等线(中文正文)" w:eastAsia="等线(中文正文)"/>
          <w:b w:val="false"/>
          <w:i w:val="false"/>
          <w:sz w:val="20"/>
        </w:rPr>
        <w:t/>
      </w:r>
    </w:p>
    <w:p>
      <w:pPr>
        <w:pStyle w:val="ab"/>
        <w:numPr>
          <w:numId w:val="7"/>
        </w:numPr>
      </w:pPr>
      <w:r>
        <w:t>28:59 半导体业务空白掩膜板产能进展与客户验证情况</w:t>
      </w:r>
    </w:p>
    <w:p>
      <w:r>
        <w:rPr>
          <w:rFonts w:ascii="等线(中文正文)" w:hAnsi="等线(中文正文)" w:cs="等线(中文正文)" w:eastAsia="等线(中文正文)"/>
          <w:b w:val="false"/>
          <w:i w:val="false"/>
          <w:sz w:val="20"/>
        </w:rPr>
        <w:t>在半导体业务的空白掩膜板领域，企业正积极推进产能建设，并与客户展开全面技术交流和产品验证。主要客户分为两大阵营：赛车场的in house光影模板厂和第三方光影模板厂。企业产品主要应用于40纳米到90纳米之间的DOV制成，包括AF与KF。已实现对所有相关客户的技术交流覆盖，样品已送至客户工厂验证，同时重要客户也到访韩国工厂进行技术交流。产品验证方面，客户倾向于从KF和28纳米的ARF开始，以验证韩国的技术能力。整体进展良好，特别是在国内客户拓展和技术交流上。</w:t>
      </w:r>
    </w:p>
    <w:p>
      <w:r>
        <w:rPr>
          <w:rFonts w:ascii="等线(中文正文)" w:hAnsi="等线(中文正文)" w:cs="等线(中文正文)" w:eastAsia="等线(中文正文)"/>
          <w:b w:val="false"/>
          <w:i w:val="false"/>
          <w:sz w:val="20"/>
        </w:rPr>
        <w:t/>
      </w:r>
    </w:p>
    <w:p>
      <w:pPr>
        <w:pStyle w:val="ab"/>
        <w:numPr>
          <w:numId w:val="8"/>
        </w:numPr>
      </w:pPr>
      <w:r>
        <w:t>32:34 半导体材料客户对接进展与未来规划</w:t>
      </w:r>
    </w:p>
    <w:p>
      <w:r>
        <w:rPr>
          <w:rFonts w:ascii="等线(中文正文)" w:hAnsi="等线(中文正文)" w:cs="等线(中文正文)" w:eastAsia="等线(中文正文)"/>
          <w:b w:val="false"/>
          <w:i w:val="false"/>
          <w:sz w:val="20"/>
        </w:rPr>
        <w:t>对话围绕半导体材料领域的客户对接进展展开，提及当前与核心客户的验证工作正按计划进行，重点在于28纳米产品的测试，预计到2027年匹配产能释放完成验证并实现批量出货。同时，讨论了全球供应链安全需求及产能建设节奏，预计明年的Q1将有更明确的规划方向。</w:t>
      </w:r>
    </w:p>
    <w:p>
      <w:r>
        <w:rPr>
          <w:rFonts w:ascii="等线(中文正文)" w:hAnsi="等线(中文正文)" w:cs="等线(中文正文)" w:eastAsia="等线(中文正文)"/>
          <w:b w:val="false"/>
          <w:i w:val="false"/>
          <w:sz w:val="20"/>
        </w:rPr>
        <w:t/>
      </w:r>
    </w:p>
    <w:p>
      <w:pPr>
        <w:pStyle w:val="ab"/>
        <w:numPr>
          <w:numId w:val="9"/>
        </w:numPr>
      </w:pPr>
      <w:r>
        <w:t>37:42 产能规划与市场份额目标</w:t>
      </w:r>
    </w:p>
    <w:p>
      <w:r>
        <w:rPr>
          <w:rFonts w:ascii="等线(中文正文)" w:hAnsi="等线(中文正文)" w:cs="等线(中文正文)" w:eastAsia="等线(中文正文)"/>
          <w:b w:val="false"/>
          <w:i w:val="false"/>
          <w:sz w:val="20"/>
        </w:rPr>
        <w:t>讨论了当前产能规划，包括上海和韩国的产能，以及未来目标份额。计划通过产品迭代和供应商导入，实现国内50%的市场占有率，类似光伏导电银浆的成功案例，强调技术和服务能力提升对市场拓展的重要性。</w:t>
      </w:r>
    </w:p>
    <w:p>
      <w:r>
        <w:rPr>
          <w:rFonts w:ascii="等线(中文正文)" w:hAnsi="等线(中文正文)" w:cs="等线(中文正文)" w:eastAsia="等线(中文正文)"/>
          <w:b w:val="false"/>
          <w:i w:val="false"/>
          <w:sz w:val="20"/>
        </w:rPr>
        <w:t/>
      </w:r>
    </w:p>
    <w:p>
      <w:pPr>
        <w:pStyle w:val="ab"/>
        <w:numPr>
          <w:numId w:val="10"/>
        </w:numPr>
      </w:pPr>
      <w:r>
        <w:t>40:16 半导体产能扩展与供应链挑战探讨</w:t>
      </w:r>
    </w:p>
    <w:p>
      <w:r>
        <w:rPr>
          <w:rFonts w:ascii="等线(中文正文)" w:hAnsi="等线(中文正文)" w:cs="等线(中文正文)" w:eastAsia="等线(中文正文)"/>
          <w:b w:val="false"/>
          <w:i w:val="false"/>
          <w:sz w:val="20"/>
        </w:rPr>
        <w:t>对话围绕半导体产能扩展周期、供应链紧张及价格波动展开，讨论了扩产周期长达18个月，供应链紧张导致材料价格可能上涨，以及国内产能整合与技术突破的策略，强调了市场需求增长与供应链稳定的重要性。</w:t>
      </w:r>
    </w:p>
    <w:p>
      <w:r>
        <w:rPr>
          <w:rFonts w:ascii="等线(中文正文)" w:hAnsi="等线(中文正文)" w:cs="等线(中文正文)" w:eastAsia="等线(中文正文)"/>
          <w:b w:val="false"/>
          <w:i w:val="false"/>
          <w:sz w:val="20"/>
        </w:rPr>
        <w:t/>
      </w:r>
    </w:p>
    <w:p>
      <w:pPr>
        <w:pStyle w:val="ab"/>
        <w:numPr>
          <w:numId w:val="11"/>
        </w:numPr>
      </w:pPr>
      <w:r>
        <w:t>49:03 国内客户导入与产品价格规划</w:t>
      </w:r>
    </w:p>
    <w:p>
      <w:r>
        <w:rPr>
          <w:rFonts w:ascii="等线(中文正文)" w:hAnsi="等线(中文正文)" w:cs="等线(中文正文)" w:eastAsia="等线(中文正文)"/>
          <w:b w:val="false"/>
          <w:i w:val="false"/>
          <w:sz w:val="20"/>
        </w:rPr>
        <w:t>对话围绕国内客户导入的时间表、不同客户进度以及产品价格规划展开。提到KF产品已开始形成销售收入，AF产品主要在高端客户处验证，预计2027年下半年批量出货。讨论了欧亚与SS在国内的产能规划及客户对供应商选择的倾向，指出空白页模板项目进展。产品单价方面，KF产品约一万多，AF产品在1万美金至10万人民币区间，放量后价格或更稳定。</w:t>
      </w:r>
    </w:p>
    <w:p>
      <w:r>
        <w:rPr>
          <w:rFonts w:ascii="等线(中文正文)" w:hAnsi="等线(中文正文)" w:cs="等线(中文正文)" w:eastAsia="等线(中文正文)"/>
          <w:b w:val="false"/>
          <w:i w:val="false"/>
          <w:sz w:val="20"/>
        </w:rPr>
        <w:t/>
      </w:r>
    </w:p>
    <w:p>
      <w:pPr>
        <w:pStyle w:val="ab"/>
        <w:numPr>
          <w:numId w:val="12"/>
        </w:numPr>
      </w:pPr>
      <w:r>
        <w:t>53:59 银价波动下金属化方案推进情况及客户覆盖度</w:t>
      </w:r>
    </w:p>
    <w:p>
      <w:r>
        <w:rPr>
          <w:rFonts w:ascii="等线(中文正文)" w:hAnsi="等线(中文正文)" w:cs="等线(中文正文)" w:eastAsia="等线(中文正文)"/>
          <w:b w:val="false"/>
          <w:i w:val="false"/>
          <w:sz w:val="20"/>
        </w:rPr>
        <w:t>讨论了银价波动对金属化方案推进的影响，指出尽管银价下跌曾影响成本优势，但随着银价企稳，客户对无银或小银化方案的兴趣再度提升。强调验证工作持续进行，与头部客户需求匹配良好，正共同推进产品方案。</w:t>
      </w:r>
    </w:p>
    <w:p>
      <w:r>
        <w:rPr>
          <w:rFonts w:ascii="等线(中文正文)" w:hAnsi="等线(中文正文)" w:cs="等线(中文正文)" w:eastAsia="等线(中文正文)"/>
          <w:b w:val="false"/>
          <w:i w:val="false"/>
          <w:sz w:val="20"/>
        </w:rPr>
        <w:t/>
      </w:r>
    </w:p>
    <w:p>
      <w:pPr>
        <w:pStyle w:val="a7"/>
      </w:pPr>
      <w:r>
        <w:t>发言总结</w:t>
      </w:r>
    </w:p>
    <w:p>
      <w:pPr>
        <w:pStyle w:val="ab"/>
        <w:numPr>
          <w:numId w:val="13"/>
        </w:numPr>
      </w:pPr>
      <w:r>
        <w:t>发言人1</w:t>
      </w:r>
    </w:p>
    <w:p>
      <w:r>
        <w:rPr>
          <w:rFonts w:ascii="等线(中文正文)" w:hAnsi="等线(中文正文)" w:cs="等线(中文正文)" w:eastAsia="等线(中文正文)"/>
          <w:b w:val="false"/>
          <w:i w:val="false"/>
          <w:sz w:val="20"/>
        </w:rPr>
        <w:t>他在2026年上半年度业绩交流会上，作为公司的财务负责人兼董事会秘书，详细报告了公司业绩和财务状况。面对贵金属价格反弹、行业需求疲软、政策变化和供应链挑战，公司仍积极应对，实现营业收入106.02亿元，同比增长64.75%，但归母净利润为负0.86亿元，同比下降147.9%，扣非后归母净利润0.96亿元，同比下降38.37%。业绩受增值税政策变化、白银价格波动及出口业务调整影响。尽管如此，公司努力优化出口业务模式，提升定价管理和经营韧性。此外，他还详细讨论了半导体业务的发展计划，包括对韩国空白掩膜板业务的整合和未来产能建设，以及公司在新能源与电子行业交叉领域的产品拓展。最后，他回应了投资者的提问，就公司的业务进展、客户验证情况、未来市场预期等进行了交流。</w:t>
      </w:r>
    </w:p>
    <w:p>
      <w:r>
        <w:rPr>
          <w:rFonts w:ascii="等线(中文正文)" w:hAnsi="等线(中文正文)" w:cs="等线(中文正文)" w:eastAsia="等线(中文正文)"/>
          <w:b w:val="false"/>
          <w:i w:val="false"/>
          <w:sz w:val="20"/>
        </w:rPr>
        <w:t/>
      </w:r>
    </w:p>
    <w:p>
      <w:pPr>
        <w:pStyle w:val="a7"/>
      </w:pPr>
      <w:r>
        <w:t>要点回顾</w:t>
      </w:r>
    </w:p>
    <w:p>
      <w:pPr>
        <w:pStyle w:val="ab"/>
      </w:pPr>
      <w:r>
        <w:t>在2026年半年度业绩交流会上，财务负责人兼董事会秘书林春兰对于上半年，尤其是二季度的财务数据表现有何评价？公司如何应对出口退税政策变化及银价波动带来的挑战？</w:t>
      </w:r>
    </w:p>
    <w:p>
      <w:r>
        <w:rPr>
          <w:rFonts w:ascii="等线(中文正文)" w:hAnsi="等线(中文正文)" w:cs="等线(中文正文)" w:eastAsia="等线(中文正文)"/>
          <w:b w:val="false"/>
          <w:i w:val="false"/>
          <w:sz w:val="20"/>
        </w:rPr>
        <w:t>发言人1：尽管面临贵金属价格反弹和市场需求疲软等挑战，但管理层认为，在这份答卷上未能给出一个满意的回报。在2026年上半年，由于行业需求波动、政策突然变化以及全球供应链供给的挑战，公司在二季度承受了较大的利润压力。面对出口退税政策变化，公司及时调整销售策略，通过进口银锭、进口粉或加税报价等方式将成本转移给客户。同时，积极管理海外供应链和客户配方调整，确保海外市场出货量相对稳定。此外，公司成功消化了出口退税政策变化的影响，随着海外客户增长和供应链管理优化，海外业务盈利水平有望回升。对于银价剧烈波动，公司在原材料采购上采取多元采购模式以保障供应，并通过存货管理策略减轻价格下跌对公司业绩的影响。最终，公司成功应对市场变化，随着银价企稳回升，毛利率有望回归常态。</w:t>
      </w:r>
    </w:p>
    <w:p>
      <w:r>
        <w:rPr>
          <w:rFonts w:ascii="等线(中文正文)" w:hAnsi="等线(中文正文)" w:cs="等线(中文正文)" w:eastAsia="等线(中文正文)"/>
          <w:b w:val="false"/>
          <w:i w:val="false"/>
          <w:sz w:val="20"/>
        </w:rPr>
        <w:t/>
      </w:r>
    </w:p>
    <w:p>
      <w:pPr>
        <w:pStyle w:val="ab"/>
      </w:pPr>
      <w:r>
        <w:t>公司2026年半年度的经营及财务状况具体如何？</w:t>
      </w:r>
    </w:p>
    <w:p>
      <w:r>
        <w:rPr>
          <w:rFonts w:ascii="等线(中文正文)" w:hAnsi="等线(中文正文)" w:cs="等线(中文正文)" w:eastAsia="等线(中文正文)"/>
          <w:b w:val="false"/>
          <w:i w:val="false"/>
          <w:sz w:val="20"/>
        </w:rPr>
        <w:t>发言人1：2026年半年度，公司实现营业收入106.02亿元，同比增长64.75%；归母净利润为负0.86亿元，同比下降147.9%；扣非后归母净利润为0.96亿元，同比下降38.37%。其中，第二季度扣非净归母净利润为负1.53亿元。</w:t>
      </w:r>
    </w:p>
    <w:p>
      <w:r>
        <w:rPr>
          <w:rFonts w:ascii="等线(中文正文)" w:hAnsi="等线(中文正文)" w:cs="等线(中文正文)" w:eastAsia="等线(中文正文)"/>
          <w:b w:val="false"/>
          <w:i w:val="false"/>
          <w:sz w:val="20"/>
        </w:rPr>
        <w:t/>
      </w:r>
    </w:p>
    <w:p>
      <w:pPr>
        <w:pStyle w:val="ab"/>
      </w:pPr>
      <w:r>
        <w:t>出口业务增值税政策变化对公司产生了哪些影响？</w:t>
      </w:r>
    </w:p>
    <w:p>
      <w:r>
        <w:rPr>
          <w:rFonts w:ascii="等线(中文正文)" w:hAnsi="等线(中文正文)" w:cs="等线(中文正文)" w:eastAsia="等线(中文正文)"/>
          <w:b w:val="false"/>
          <w:i w:val="false"/>
          <w:sz w:val="20"/>
        </w:rPr>
        <w:t>发言人1：由于1月31日财政部和国税总局取消了出口货物的原有特税政策，对公司出口业务模式产生了较大影响。追溯执行该政策导致2026年初接的部分订单面临硬亏损风险，公司为维护客户关系选择了履约，并承担了增值税成本，这对公司上半年报表利润造成一次性较大负面影响，预计至少减少1.5亿以上的利润。</w:t>
      </w:r>
    </w:p>
    <w:p>
      <w:r>
        <w:rPr>
          <w:rFonts w:ascii="等线(中文正文)" w:hAnsi="等线(中文正文)" w:cs="等线(中文正文)" w:eastAsia="等线(中文正文)"/>
          <w:b w:val="false"/>
          <w:i w:val="false"/>
          <w:sz w:val="20"/>
        </w:rPr>
        <w:t/>
      </w:r>
    </w:p>
    <w:p>
      <w:pPr>
        <w:pStyle w:val="ab"/>
      </w:pPr>
      <w:r>
        <w:t>在六月底这个时点，银价波动对公司的公允价值变动损益产生了多大的影响？上半年投资收益情况如何，以及它对整个公司净利润的影响有多大？</w:t>
      </w:r>
    </w:p>
    <w:p>
      <w:r>
        <w:rPr>
          <w:rFonts w:ascii="等线(中文正文)" w:hAnsi="等线(中文正文)" w:cs="等线(中文正文)" w:eastAsia="等线(中文正文)"/>
          <w:b w:val="false"/>
          <w:i w:val="false"/>
          <w:sz w:val="20"/>
        </w:rPr>
        <w:t>发言人1：在六月底时，银价波动导致的公允价值变动损益产生了约2.26亿的浮亏。上半年投资收益约为负0.64亿元，受此影响，公司净利润有所减少。但随着银价反弹，这部分浮亏已很大程度上得到返回，若扣除非经常性损益因素，上半年扣除非经常性损益后的母净利润达到0.96亿元。</w:t>
      </w:r>
    </w:p>
    <w:p>
      <w:r>
        <w:rPr>
          <w:rFonts w:ascii="等线(中文正文)" w:hAnsi="等线(中文正文)" w:cs="等线(中文正文)" w:eastAsia="等线(中文正文)"/>
          <w:b w:val="false"/>
          <w:i w:val="false"/>
          <w:sz w:val="20"/>
        </w:rPr>
        <w:t/>
      </w:r>
    </w:p>
    <w:p>
      <w:pPr>
        <w:pStyle w:val="ab"/>
      </w:pPr>
      <w:r>
        <w:t>公司光伏导电浆料的经营情况如何？</w:t>
      </w:r>
    </w:p>
    <w:p>
      <w:r>
        <w:rPr>
          <w:rFonts w:ascii="等线(中文正文)" w:hAnsi="等线(中文正文)" w:cs="等线(中文正文)" w:eastAsia="等线(中文正文)"/>
          <w:b w:val="false"/>
          <w:i w:val="false"/>
          <w:sz w:val="20"/>
        </w:rPr>
        <w:t>发言人1：光伏行业正经历产能出清阶段，受下游需求波动和开工率较低影响，上半年光伏导电浆料出货量约为640吨，较2025年同期下滑超过30%。</w:t>
      </w:r>
    </w:p>
    <w:p>
      <w:r>
        <w:rPr>
          <w:rFonts w:ascii="等线(中文正文)" w:hAnsi="等线(中文正文)" w:cs="等线(中文正文)" w:eastAsia="等线(中文正文)"/>
          <w:b w:val="false"/>
          <w:i w:val="false"/>
          <w:sz w:val="20"/>
        </w:rPr>
        <w:t/>
      </w:r>
    </w:p>
    <w:p>
      <w:pPr>
        <w:pStyle w:val="ab"/>
      </w:pPr>
      <w:r>
        <w:t>公司在小型化和无银化技术方面的发展情况如何？</w:t>
      </w:r>
    </w:p>
    <w:p>
      <w:r>
        <w:rPr>
          <w:rFonts w:ascii="等线(中文正文)" w:hAnsi="等线(中文正文)" w:cs="等线(中文正文)" w:eastAsia="等线(中文正文)"/>
          <w:b w:val="false"/>
          <w:i w:val="false"/>
          <w:sz w:val="20"/>
        </w:rPr>
        <w:t>发言人1：公司在小型化和无银化技术领域保持行业领先地位，但成本压力倒逼光伏行业加速技术迭代和供应链优化。公司通过技术研发推动产业升级，提供高质量的少硬化无硬化解决方案，并与头部客户积极合作推进相关技术应用。</w:t>
      </w:r>
    </w:p>
    <w:p>
      <w:r>
        <w:rPr>
          <w:rFonts w:ascii="等线(中文正文)" w:hAnsi="等线(中文正文)" w:cs="等线(中文正文)" w:eastAsia="等线(中文正文)"/>
          <w:b w:val="false"/>
          <w:i w:val="false"/>
          <w:sz w:val="20"/>
        </w:rPr>
        <w:t/>
      </w:r>
    </w:p>
    <w:p>
      <w:pPr>
        <w:pStyle w:val="ab"/>
      </w:pPr>
      <w:r>
        <w:t>公司的现金管理能力及资产负债状况怎样？</w:t>
      </w:r>
    </w:p>
    <w:p>
      <w:r>
        <w:rPr>
          <w:rFonts w:ascii="等线(中文正文)" w:hAnsi="等线(中文正文)" w:cs="等线(中文正文)" w:eastAsia="等线(中文正文)"/>
          <w:b w:val="false"/>
          <w:i w:val="false"/>
          <w:sz w:val="20"/>
        </w:rPr>
        <w:t>发言人1：公司保持稳健的现金管理能力，实现了良性现金循环。尽管经营性净现金流有所流出，但通过票据贴现业务有效管理资金周转，可动用的自有现金基本保持在20亿水平，资金安全性高。资产方面，货币基金、应收账款和存货均有所增长，资产负债率维持在健康水平。</w:t>
      </w:r>
    </w:p>
    <w:p>
      <w:r>
        <w:rPr>
          <w:rFonts w:ascii="等线(中文正文)" w:hAnsi="等线(中文正文)" w:cs="等线(中文正文)" w:eastAsia="等线(中文正文)"/>
          <w:b w:val="false"/>
          <w:i w:val="false"/>
          <w:sz w:val="20"/>
        </w:rPr>
        <w:t/>
      </w:r>
    </w:p>
    <w:p>
      <w:pPr>
        <w:pStyle w:val="ab"/>
      </w:pPr>
      <w:r>
        <w:t>面对下半年的行业环境挑战及原材料价格波动，公司采取了哪些应对措施？</w:t>
      </w:r>
    </w:p>
    <w:p>
      <w:r>
        <w:rPr>
          <w:rFonts w:ascii="等线(中文正文)" w:hAnsi="等线(中文正文)" w:cs="等线(中文正文)" w:eastAsia="等线(中文正文)"/>
          <w:b w:val="false"/>
          <w:i w:val="false"/>
          <w:sz w:val="20"/>
        </w:rPr>
        <w:t>发言人1：公司将强化白银供应链把控能力，优化库存动态管理，并结合多元化采购策略与白银期货租赁金融工具，提升应对银价波动风险的能力。同时，积极与海外客户磋商解决增值税出口退税取消问题，降低该事件对公司的影响，并着力拓展海外客户及新兴产品应用，优化运营管理以提高整体运营效率和抗风险能力。</w:t>
      </w:r>
    </w:p>
    <w:p>
      <w:r>
        <w:rPr>
          <w:rFonts w:ascii="等线(中文正文)" w:hAnsi="等线(中文正文)" w:cs="等线(中文正文)" w:eastAsia="等线(中文正文)"/>
          <w:b w:val="false"/>
          <w:i w:val="false"/>
          <w:sz w:val="20"/>
        </w:rPr>
        <w:t/>
      </w:r>
    </w:p>
    <w:p>
      <w:pPr>
        <w:pStyle w:val="ab"/>
      </w:pPr>
      <w:r>
        <w:t>公司在半导体材料领域的发展计划是什么？</w:t>
      </w:r>
    </w:p>
    <w:p>
      <w:r>
        <w:rPr>
          <w:rFonts w:ascii="等线(中文正文)" w:hAnsi="等线(中文正文)" w:cs="等线(中文正文)" w:eastAsia="等线(中文正文)"/>
          <w:b w:val="false"/>
          <w:i w:val="false"/>
          <w:sz w:val="20"/>
        </w:rPr>
        <w:t>发言人1：公司已完成对SKE空白页模板业务的交割，开始推进半导体材料战略落地。计划在上海建设半导体总部，预计2027年上半年完成第一期产能建设，实现产品调试投产，并根据客户需求规划后续产能爬坡和三期建设。此外，通过收购获得DOE环节技术和量产能力，填补了国产空白掩模板在半导体材料市场的空白，有助于保障供应链安全并打破海外企业垄断。</w:t>
      </w:r>
    </w:p>
    <w:p>
      <w:r>
        <w:rPr>
          <w:rFonts w:ascii="等线(中文正文)" w:hAnsi="等线(中文正文)" w:cs="等线(中文正文)" w:eastAsia="等线(中文正文)"/>
          <w:b w:val="false"/>
          <w:i w:val="false"/>
          <w:sz w:val="20"/>
        </w:rPr>
        <w:t/>
      </w:r>
    </w:p>
    <w:p>
      <w:pPr>
        <w:pStyle w:val="ab"/>
      </w:pPr>
      <w:r>
        <w:t>在半导体业务方面，我们看到了空白掩膜板是公司重要的业务布局，请问一下目前产能的进展情况，包括供货情况和客户对我们的认可情况？</w:t>
      </w:r>
    </w:p>
    <w:p>
      <w:r>
        <w:rPr>
          <w:rFonts w:ascii="等线(中文正文)" w:hAnsi="等线(中文正文)" w:cs="等线(中文正文)" w:eastAsia="等线(中文正文)"/>
          <w:b w:val="false"/>
          <w:i w:val="false"/>
          <w:sz w:val="20"/>
        </w:rPr>
        <w:t>发言人1：好的，在空白掩模板这一块，我们的直接客户分为两个阵营：一个是赛博场的in house，另一个是第三方的光影模板厂。我们在40纳米到90纳米之间的DOV制成产品为主，包括AF跟KF，面对国内赛车场的产能其实是比较大的。我们在整个季度的整合及与客户沟通中，基本上实现了对目前能用到我们这个制成的所有客户的技术交流和拜访的全面覆盖。</w:t>
      </w:r>
    </w:p>
    <w:p>
      <w:r>
        <w:rPr>
          <w:rFonts w:ascii="等线(中文正文)" w:hAnsi="等线(中文正文)" w:cs="等线(中文正文)" w:eastAsia="等线(中文正文)"/>
          <w:b w:val="false"/>
          <w:i w:val="false"/>
          <w:sz w:val="20"/>
        </w:rPr>
        <w:t/>
      </w:r>
    </w:p>
    <w:p>
      <w:pPr>
        <w:pStyle w:val="ab"/>
      </w:pPr>
      <w:r>
        <w:t>关于空白掩模板的客户对接进展，以及有没有验证指引和营收体量方向的指引可以分享一下吗？</w:t>
      </w:r>
    </w:p>
    <w:p>
      <w:r>
        <w:rPr>
          <w:rFonts w:ascii="等线(中文正文)" w:hAnsi="等线(中文正文)" w:cs="等线(中文正文)" w:eastAsia="等线(中文正文)"/>
          <w:b w:val="false"/>
          <w:i w:val="false"/>
          <w:sz w:val="20"/>
        </w:rPr>
        <w:t>发言人1：我们目前在半导体材料领域的客户对接和验证工作按计划进行，但国内核心半导体客户的验证过程保密。在Q2我们做了全面覆盖，梳理了客户的产品需求和技术要求。对于空白掩模板产品，我们正在做产品的测试数量，目前以28纳米产品为主，进展符合预期。</w:t>
      </w:r>
    </w:p>
    <w:p>
      <w:r>
        <w:rPr>
          <w:rFonts w:ascii="等线(中文正文)" w:hAnsi="等线(中文正文)" w:cs="等线(中文正文)" w:eastAsia="等线(中文正文)"/>
          <w:b w:val="false"/>
          <w:i w:val="false"/>
          <w:sz w:val="20"/>
        </w:rPr>
        <w:t/>
      </w:r>
    </w:p>
    <w:p>
      <w:pPr>
        <w:pStyle w:val="ab"/>
      </w:pPr>
      <w:r>
        <w:t>产能建设的节奏以及未来目标的市场份额是多少？</w:t>
      </w:r>
    </w:p>
    <w:p>
      <w:r>
        <w:rPr>
          <w:rFonts w:ascii="等线(中文正文)" w:hAnsi="等线(中文正文)" w:cs="等线(中文正文)" w:eastAsia="等线(中文正文)"/>
          <w:b w:val="false"/>
          <w:i w:val="false"/>
          <w:sz w:val="20"/>
        </w:rPr>
        <w:t>发言人1：关于产能建设节奏和目标市场份额，可能会在明年Q4根据客户验证情况和当前渗透率有更明确的方向，并据此规划后期产能和技术建设以及未来产能的落地位置。</w:t>
      </w:r>
    </w:p>
    <w:p>
      <w:r>
        <w:rPr>
          <w:rFonts w:ascii="等线(中文正文)" w:hAnsi="等线(中文正文)" w:cs="等线(中文正文)" w:eastAsia="等线(中文正文)"/>
          <w:b w:val="false"/>
          <w:i w:val="false"/>
          <w:sz w:val="20"/>
        </w:rPr>
        <w:t/>
      </w:r>
    </w:p>
    <w:p>
      <w:pPr>
        <w:pStyle w:val="ab"/>
      </w:pPr>
      <w:r>
        <w:t>客户的需求增长如何影响我们产品的生产和市场目标？</w:t>
      </w:r>
    </w:p>
    <w:p>
      <w:r>
        <w:rPr>
          <w:rFonts w:ascii="等线(中文正文)" w:hAnsi="等线(中文正文)" w:cs="等线(中文正文)" w:eastAsia="等线(中文正文)"/>
          <w:b w:val="false"/>
          <w:i w:val="false"/>
          <w:sz w:val="20"/>
        </w:rPr>
        <w:t>发言人1：客户的需求在不断增大，对于空白点模板的需求与整体的两率紧密相关。我们目前聚焦于DOV环节，包括KF、AS和产品。目标是从2万片提升至4万片，最终规划达到国内50%市占率水平。通过产品迭代和国产供应商导入，可以更好地满足客户定制研发与服务响应需求。</w:t>
      </w:r>
    </w:p>
    <w:p>
      <w:r>
        <w:rPr>
          <w:rFonts w:ascii="等线(中文正文)" w:hAnsi="等线(中文正文)" w:cs="等线(中文正文)" w:eastAsia="等线(中文正文)"/>
          <w:b w:val="false"/>
          <w:i w:val="false"/>
          <w:sz w:val="20"/>
        </w:rPr>
        <w:t/>
      </w:r>
    </w:p>
    <w:p>
      <w:pPr>
        <w:pStyle w:val="ab"/>
      </w:pPr>
      <w:r>
        <w:t>我们公司如何在空白模板市场中实现产能扩张和竞争优势？</w:t>
      </w:r>
    </w:p>
    <w:p>
      <w:r>
        <w:rPr>
          <w:rFonts w:ascii="等线(中文正文)" w:hAnsi="等线(中文正文)" w:cs="等线(中文正文)" w:eastAsia="等线(中文正文)"/>
          <w:b w:val="false"/>
          <w:i w:val="false"/>
          <w:sz w:val="20"/>
        </w:rPr>
        <w:t>发言人1：我们已经具备成熟的技术能力，并能根据客户需求快速响应。正逐步搭建工程师团队以了解客户需求，并在研发上做出相应调整。随着供应链的建立和服务、技术能力的提升，将根据市场需求规模增加产能，至少匹配50%以上的市场份额。</w:t>
      </w:r>
    </w:p>
    <w:p>
      <w:r>
        <w:rPr>
          <w:rFonts w:ascii="等线(中文正文)" w:hAnsi="等线(中文正文)" w:cs="等线(中文正文)" w:eastAsia="等线(中文正文)"/>
          <w:b w:val="false"/>
          <w:i w:val="false"/>
          <w:sz w:val="20"/>
        </w:rPr>
        <w:t/>
      </w:r>
    </w:p>
    <w:p>
      <w:pPr>
        <w:pStyle w:val="ab"/>
      </w:pPr>
      <w:r>
        <w:t>空白模板产能扩展周期有多长？未来供应链是否会面临涨价或材料短缺问题？</w:t>
      </w:r>
    </w:p>
    <w:p>
      <w:r>
        <w:rPr>
          <w:rFonts w:ascii="等线(中文正文)" w:hAnsi="等线(中文正文)" w:cs="等线(中文正文)" w:eastAsia="等线(中文正文)"/>
          <w:b w:val="false"/>
          <w:i w:val="false"/>
          <w:sz w:val="20"/>
        </w:rPr>
        <w:t>发言人1：产能扩展周期较长，从购买设备到厂房建设调试，单环节设备周期大约18个月。目前设备周期较长，且市场需求可能会迎来爆发式增长，若供给无法及时跟上，确实存在涨价和材料短缺的风险。</w:t>
      </w:r>
    </w:p>
    <w:p>
      <w:r>
        <w:rPr>
          <w:rFonts w:ascii="等线(中文正文)" w:hAnsi="等线(中文正文)" w:cs="等线(中文正文)" w:eastAsia="等线(中文正文)"/>
          <w:b w:val="false"/>
          <w:i w:val="false"/>
          <w:sz w:val="20"/>
        </w:rPr>
        <w:t/>
      </w:r>
    </w:p>
    <w:p>
      <w:pPr>
        <w:pStyle w:val="ab"/>
      </w:pPr>
      <w:r>
        <w:t>公司目前的产能规划以及未来对国内产能整合的展望是怎样的？</w:t>
      </w:r>
    </w:p>
    <w:p>
      <w:r>
        <w:rPr>
          <w:rFonts w:ascii="等线(中文正文)" w:hAnsi="等线(中文正文)" w:cs="等线(中文正文)" w:eastAsia="等线(中文正文)"/>
          <w:b w:val="false"/>
          <w:i w:val="false"/>
          <w:sz w:val="20"/>
        </w:rPr>
        <w:t>发言人1：明年公司将分批投入设备，预计在2028年形成4万片产能。同时，国内现有产能在国家相关部门指导下可能会进行整合，公司凭借良好的资本平台和技术实力，可顺利整合现有产能，迅速提升产量以满足至少50%的市场需求。</w:t>
      </w:r>
    </w:p>
    <w:p>
      <w:r>
        <w:rPr>
          <w:rFonts w:ascii="等线(中文正文)" w:hAnsi="等线(中文正文)" w:cs="等线(中文正文)" w:eastAsia="等线(中文正文)"/>
          <w:b w:val="false"/>
          <w:i w:val="false"/>
          <w:sz w:val="20"/>
        </w:rPr>
        <w:t/>
      </w:r>
    </w:p>
    <w:p>
      <w:pPr>
        <w:pStyle w:val="ab"/>
      </w:pPr>
      <w:r>
        <w:t>关于Q2白银波动对公司业绩的影响以及对未来业务展望的看法？</w:t>
      </w:r>
    </w:p>
    <w:p>
      <w:r>
        <w:rPr>
          <w:rFonts w:ascii="等线(中文正文)" w:hAnsi="等线(中文正文)" w:cs="等线(中文正文)" w:eastAsia="等线(中文正文)"/>
          <w:b w:val="false"/>
          <w:i w:val="false"/>
          <w:sz w:val="20"/>
        </w:rPr>
        <w:t>发言人1：Q2由于白银价格波动，业绩出现一次性波动，但白银价格已企稳回升。公司正全面转型半导体主业，致力于打造第二成长曲线，看好后续业绩多元化并由半导体行业贡献。</w:t>
      </w:r>
    </w:p>
    <w:p>
      <w:r>
        <w:rPr>
          <w:rFonts w:ascii="等线(中文正文)" w:hAnsi="等线(中文正文)" w:cs="等线(中文正文)" w:eastAsia="等线(中文正文)"/>
          <w:b w:val="false"/>
          <w:i w:val="false"/>
          <w:sz w:val="20"/>
        </w:rPr>
        <w:t/>
      </w:r>
    </w:p>
    <w:p>
      <w:pPr>
        <w:pStyle w:val="ab"/>
      </w:pPr>
      <w:r>
        <w:t>对于三季度营销主业的业绩展望，以及银泰波动对Q2的具体影响能否详细说明？</w:t>
      </w:r>
    </w:p>
    <w:p>
      <w:r>
        <w:rPr>
          <w:rFonts w:ascii="等线(中文正文)" w:hAnsi="等线(中文正文)" w:cs="等线(中文正文)" w:eastAsia="等线(中文正文)"/>
          <w:b w:val="false"/>
          <w:i w:val="false"/>
          <w:sz w:val="20"/>
        </w:rPr>
        <w:t>发言人1：预计三季度出货量在350到400区间，海外占比略有上升，单位毛利稳中有升。Q2银泰波动对公司原有保有量持有约影响1亿左右，但公司采取稳健策略控制出货量。此外，Q2韩国团队面临供应链调整和国内客户的技术交流及产品验证挑战，导致产能利用率下降，但下半年随着ODI第二笔增值款到位、设备启动以及团队磨合，产能利用率有望恢复。</w:t>
      </w:r>
    </w:p>
    <w:p>
      <w:r>
        <w:rPr>
          <w:rFonts w:ascii="等线(中文正文)" w:hAnsi="等线(中文正文)" w:cs="等线(中文正文)" w:eastAsia="等线(中文正文)"/>
          <w:b w:val="false"/>
          <w:i w:val="false"/>
          <w:sz w:val="20"/>
        </w:rPr>
        <w:t/>
      </w:r>
    </w:p>
    <w:p>
      <w:pPr>
        <w:pStyle w:val="ab"/>
      </w:pPr>
      <w:r>
        <w:t>韩国掩模板产能方面有没有新变化，包括开工率、出货情况及产品类型？</w:t>
      </w:r>
    </w:p>
    <w:p>
      <w:r>
        <w:rPr>
          <w:rFonts w:ascii="等线(中文正文)" w:hAnsi="等线(中文正文)" w:cs="等线(中文正文)" w:eastAsia="等线(中文正文)"/>
          <w:b w:val="false"/>
          <w:i w:val="false"/>
          <w:sz w:val="20"/>
        </w:rPr>
        <w:t>发言人1：Q2韩国团队因供应链切割、原有客户订单交付以及国内客户的技术交流和产品验证等因素，产能利用率有所影响。不过，随着ODI第二条生产线启动和国内外团队磨合加深，预计下半年产能利用率会有所提升。</w:t>
      </w:r>
    </w:p>
    <w:p>
      <w:r>
        <w:rPr>
          <w:rFonts w:ascii="等线(中文正文)" w:hAnsi="等线(中文正文)" w:cs="等线(中文正文)" w:eastAsia="等线(中文正文)"/>
          <w:b w:val="false"/>
          <w:i w:val="false"/>
          <w:sz w:val="20"/>
        </w:rPr>
        <w:t/>
      </w:r>
    </w:p>
    <w:p>
      <w:pPr>
        <w:pStyle w:val="ab"/>
      </w:pPr>
      <w:r>
        <w:t>关于国内客户验证的时间表及不同客户进度上有哪些更快的进展？</w:t>
      </w:r>
    </w:p>
    <w:p>
      <w:r>
        <w:rPr>
          <w:rFonts w:ascii="等线(中文正文)" w:hAnsi="等线(中文正文)" w:cs="等线(中文正文)" w:eastAsia="等线(中文正文)"/>
          <w:b w:val="false"/>
          <w:i w:val="false"/>
          <w:sz w:val="20"/>
        </w:rPr>
        <w:t>发言人1：关于国内客户验证的具体时间表没有明确说明，但提到公司正在批量导入国内客户，强调了与重要客户的产品验证和技术交流。</w:t>
      </w:r>
    </w:p>
    <w:p>
      <w:r>
        <w:rPr>
          <w:rFonts w:ascii="等线(中文正文)" w:hAnsi="等线(中文正文)" w:cs="等线(中文正文)" w:eastAsia="等线(中文正文)"/>
          <w:b w:val="false"/>
          <w:i w:val="false"/>
          <w:sz w:val="20"/>
        </w:rPr>
        <w:t/>
      </w:r>
    </w:p>
    <w:p>
      <w:pPr>
        <w:pStyle w:val="ab"/>
      </w:pPr>
      <w:r>
        <w:t>国内客户对于导入产品的接受情况如何？</w:t>
      </w:r>
    </w:p>
    <w:p>
      <w:r>
        <w:rPr>
          <w:rFonts w:ascii="等线(中文正文)" w:hAnsi="等线(中文正文)" w:cs="等线(中文正文)" w:eastAsia="等线(中文正文)"/>
          <w:b w:val="false"/>
          <w:i w:val="false"/>
          <w:sz w:val="20"/>
        </w:rPr>
        <w:t>发言人1：国内客户对导入产品的接受情况分为不同产品序列。例如，聚光新材在上海主体已形成一部分销售收入，KF产品在国内已有客户采购，每天销售额约一万多。而AIF，特别是28纳米的产品，目前主要在几家高端重要客户那里进行验证，这个验证流程和购买页模板变更对光刻结果影响重大，周期较长。预计乐观情况下今年年底或2027年下半年会看到更多国内AF应用通过批量出货实现。</w:t>
      </w:r>
    </w:p>
    <w:p>
      <w:r>
        <w:rPr>
          <w:rFonts w:ascii="等线(中文正文)" w:hAnsi="等线(中文正文)" w:cs="等线(中文正文)" w:eastAsia="等线(中文正文)"/>
          <w:b w:val="false"/>
          <w:i w:val="false"/>
          <w:sz w:val="20"/>
        </w:rPr>
        <w:t/>
      </w:r>
    </w:p>
    <w:p>
      <w:pPr>
        <w:pStyle w:val="ab"/>
      </w:pPr>
      <w:r>
        <w:t>国内供应商选择上是否存在对本土供应商的倾向？</w:t>
      </w:r>
    </w:p>
    <w:p>
      <w:r>
        <w:rPr>
          <w:rFonts w:ascii="等线(中文正文)" w:hAnsi="等线(中文正文)" w:cs="等线(中文正文)" w:eastAsia="等线(中文正文)"/>
          <w:b w:val="false"/>
          <w:i w:val="false"/>
          <w:sz w:val="20"/>
        </w:rPr>
        <w:t>发言人1：据我们了解，欧亚与SS在国内确实有产能规划。在供应商选择方面，客户可能会倾向于在国内有更多价格优势的供应商。例如，霍亚当时与京东方在国内有个合资厂，专注于与密码相关的项目而非基于11G版空白模板的项目。SAC tech最近也在苏州寻求与国内资本合作，主要关注面板相关的空白模板项目。</w:t>
      </w:r>
    </w:p>
    <w:p>
      <w:r>
        <w:rPr>
          <w:rFonts w:ascii="等线(中文正文)" w:hAnsi="等线(中文正文)" w:cs="等线(中文正文)" w:eastAsia="等线(中文正文)"/>
          <w:b w:val="false"/>
          <w:i w:val="false"/>
          <w:sz w:val="20"/>
        </w:rPr>
        <w:t/>
      </w:r>
    </w:p>
    <w:p>
      <w:pPr>
        <w:pStyle w:val="ab"/>
      </w:pPr>
      <w:r>
        <w:t>公司在空白模板领域是否有扩展计划？</w:t>
      </w:r>
    </w:p>
    <w:p>
      <w:r>
        <w:rPr>
          <w:rFonts w:ascii="等线(中文正文)" w:hAnsi="等线(中文正文)" w:cs="等线(中文正文)" w:eastAsia="等线(中文正文)"/>
          <w:b w:val="false"/>
          <w:i w:val="false"/>
          <w:sz w:val="20"/>
        </w:rPr>
        <w:t>发言人1：目前尚未听说户外信誉和技术公司在空白模板领域有特别的半导体扩展计划，反而是信业正在准备在这个时机板这一块做一定扩展，因为它看到了国内在未来可能有不错的发展机会，尤其在空白模板和使用基板方面有一定的沉淀和优势，有未来3到5年的扩展计划。</w:t>
      </w:r>
    </w:p>
    <w:p>
      <w:r>
        <w:rPr>
          <w:rFonts w:ascii="等线(中文正文)" w:hAnsi="等线(中文正文)" w:cs="等线(中文正文)" w:eastAsia="等线(中文正文)"/>
          <w:b w:val="false"/>
          <w:i w:val="false"/>
          <w:sz w:val="20"/>
        </w:rPr>
        <w:t/>
      </w:r>
    </w:p>
    <w:p>
      <w:pPr>
        <w:pStyle w:val="ab"/>
      </w:pPr>
      <w:r>
        <w:t>公司产品的销售单价是多少？以及导入国内客户时的价格策略？</w:t>
      </w:r>
    </w:p>
    <w:p>
      <w:r>
        <w:rPr>
          <w:rFonts w:ascii="等线(中文正文)" w:hAnsi="等线(中文正文)" w:cs="等线(中文正文)" w:eastAsia="等线(中文正文)"/>
          <w:b w:val="false"/>
          <w:i w:val="false"/>
          <w:sz w:val="20"/>
        </w:rPr>
        <w:t>发言人1：KF产品的销售单价目前大约在一万多一片；AF28及更高能级的产品价格区间在一万美金到10万人民币。目前了解到客户从惠亚新悦购买的价格也处于同一区间，并且公司在PF等产品上没有提出在价格上明显低于海外竞品的要求，而是采取与海外差不多或略低一些的方式与客户进行商务谈判和沟通。</w:t>
      </w:r>
    </w:p>
    <w:p>
      <w:r>
        <w:rPr>
          <w:rFonts w:ascii="等线(中文正文)" w:hAnsi="等线(中文正文)" w:cs="等线(中文正文)" w:eastAsia="等线(中文正文)"/>
          <w:b w:val="false"/>
          <w:i w:val="false"/>
          <w:sz w:val="20"/>
        </w:rPr>
        <w:t/>
      </w:r>
    </w:p>
    <w:p>
      <w:pPr>
        <w:pStyle w:val="ab"/>
      </w:pPr>
      <w:r>
        <w:t>银价波动下，金属化推进情况及对公司下游精准化导入的进度观察如何？</w:t>
      </w:r>
    </w:p>
    <w:p>
      <w:r>
        <w:rPr>
          <w:rFonts w:ascii="等线(中文正文)" w:hAnsi="等线(中文正文)" w:cs="等线(中文正文)" w:eastAsia="等线(中文正文)"/>
          <w:b w:val="false"/>
          <w:i w:val="false"/>
          <w:sz w:val="20"/>
        </w:rPr>
        <w:t>发言人1：银价高位时对金化净化动力确实有所提升，但随着银价下跌至13000以下，行业对于小型化方案的成本优势产生一定担忧。不过，随着银价企稳并回到一万六七的水平，客户对高效能组件的需求依然谨慎，并未显著放缓资本开支。尽管银价波动影响了成本优势，但客户仍在基本开支上保持谨慎并按照原节奏推进无人化小型化产品方案与客户对接验证。至于完全产业化的时间，还需持续观察。目前验证工作在推进，下游需求节奏决定产业化进程，公司能够为每个头部客户提供匹配验证的产品方案。</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2026-08-27T14:13:08Z</dcterms:created>
  <dc:creator>Apache POI</dc:creator>
</cp:coreProperties>
</file>