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开源商社 - 老铺黄金：高端中式黄金的冰与火之歌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老铺黄金 高端黄金 产品升级 高客运营 分红 出海计划 经济销售 金器 SKP 七夕活动 高端商场 高客 商场 老铺 定价策略 渠道升级 毛利率 金价 新品 折扣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老铺黄金公司二季度经营受挫，主要因自抬售价及金价下跌，影响了产品性价比与消费者购买力。尽管面临挑战，公司预期第三季度销售将恢复并逐季增长，全年利润预测约为65亿。为应对市场变化，老铺黄金正优化渠道、强化高端市场定位及产品创新，特别是在高端商场及海外市场拓展方面取得进展。公司通过新的定价策略提升消费者接受度，同时保持毛利率目标，展现了灵活应对市场及追求长期价值的决心。</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老铺黄金：高端黄金市场的冰与火之歌</w:t>
      </w:r>
    </w:p>
    <w:p>
      <w:r>
        <w:rPr>
          <w:rFonts w:ascii="等线(中文正文)" w:hAnsi="等线(中文正文)" w:cs="等线(中文正文)" w:eastAsia="等线(中文正文)"/>
          <w:b w:val="false"/>
          <w:i w:val="false"/>
          <w:sz w:val="20"/>
        </w:rPr>
        <w:t>对话围绕老铺黄金展开，深入分析了其在二季度因自身涨价与外部金价波动导致销售不佳的现状，以及下半年销售有望逐级向上的趋势。报告指出，尽管二季度业绩不尽如人意，但基于对三季度的观察与下半年销售预测，全年利润预计达65亿左右。此外，公司分红比例维持高位，现金流显著改善，展现出积极的财务信号。</w:t>
      </w:r>
    </w:p>
    <w:p>
      <w:r>
        <w:rPr>
          <w:rFonts w:ascii="等线(中文正文)" w:hAnsi="等线(中文正文)" w:cs="等线(中文正文)" w:eastAsia="等线(中文正文)"/>
          <w:b w:val="false"/>
          <w:i w:val="false"/>
          <w:sz w:val="20"/>
        </w:rPr>
        <w:t/>
      </w:r>
    </w:p>
    <w:p>
      <w:pPr>
        <w:pStyle w:val="ab"/>
        <w:numPr>
          <w:numId w:val="2"/>
        </w:numPr>
      </w:pPr>
      <w:r>
        <w:t>03:44 公司品牌长期逻辑与未来发展策略分析</w:t>
      </w:r>
    </w:p>
    <w:p>
      <w:r>
        <w:rPr>
          <w:rFonts w:ascii="等线(中文正文)" w:hAnsi="等线(中文正文)" w:cs="等线(中文正文)" w:eastAsia="等线(中文正文)"/>
          <w:b w:val="false"/>
          <w:i w:val="false"/>
          <w:sz w:val="20"/>
        </w:rPr>
        <w:t>对话深入探讨了公司品牌在渠道优化、高端商场位置认可、内地大旗舰门店策略及海外市场拓展等方面的优势，强调了高科产品增长、金价上涨对公司价值的积极影响。同时，会议将聚焦于产品、高客服务、海外经营体系等核心领域的详细调研成果，旨在全面解析公司长期发展逻辑与未来规划。</w:t>
      </w:r>
    </w:p>
    <w:p>
      <w:r>
        <w:rPr>
          <w:rFonts w:ascii="等线(中文正文)" w:hAnsi="等线(中文正文)" w:cs="等线(中文正文)" w:eastAsia="等线(中文正文)"/>
          <w:b w:val="false"/>
          <w:i w:val="false"/>
          <w:sz w:val="20"/>
        </w:rPr>
        <w:t/>
      </w:r>
    </w:p>
    <w:p>
      <w:pPr>
        <w:pStyle w:val="ab"/>
        <w:numPr>
          <w:numId w:val="3"/>
        </w:numPr>
      </w:pPr>
      <w:r>
        <w:t>07:10 老铺珠宝：产品升级与高端市场拓展策略</w:t>
      </w:r>
    </w:p>
    <w:p>
      <w:r>
        <w:rPr>
          <w:rFonts w:ascii="等线(中文正文)" w:hAnsi="等线(中文正文)" w:cs="等线(中文正文)" w:eastAsia="等线(中文正文)"/>
          <w:b w:val="false"/>
          <w:i w:val="false"/>
          <w:sz w:val="20"/>
        </w:rPr>
        <w:t>讨论了老铺珠宝未来增长模式的升级，包括产品创新、高客渠道建设和海外市场拓展。强调了金器产品的独特价值，如适合高净值客户、提升客单价和品牌高度。提及公司通过提升复购率、优化门店场景和艺术展览等方式，增强客户粘性和消费体验。海外市场的成功验证了老铺在国内高端商场的经验，为品牌国际化奠定了基础。</w:t>
      </w:r>
    </w:p>
    <w:p>
      <w:r>
        <w:rPr>
          <w:rFonts w:ascii="等线(中文正文)" w:hAnsi="等线(中文正文)" w:cs="等线(中文正文)" w:eastAsia="等线(中文正文)"/>
          <w:b w:val="false"/>
          <w:i w:val="false"/>
          <w:sz w:val="20"/>
        </w:rPr>
        <w:t/>
      </w:r>
    </w:p>
    <w:p>
      <w:pPr>
        <w:pStyle w:val="ab"/>
        <w:numPr>
          <w:numId w:val="4"/>
        </w:numPr>
      </w:pPr>
      <w:r>
        <w:t>12:57 海外扩张策略与高端消费模式验证</w:t>
      </w:r>
    </w:p>
    <w:p>
      <w:r>
        <w:rPr>
          <w:rFonts w:ascii="等线(中文正文)" w:hAnsi="等线(中文正文)" w:cs="等线(中文正文)" w:eastAsia="等线(中文正文)"/>
          <w:b w:val="false"/>
          <w:i w:val="false"/>
          <w:sz w:val="20"/>
        </w:rPr>
        <w:t>公司海外扩张策略聚焦于核心城市商圈，不追求多店覆盖，而是在洛杉矶和日本银座等地精耕细作，验证中国经典能否转化为世界经典，以及国内成功模式能否在境外复制。长期目标是吸引当地高净值人群，提升客单价与复购率，形成高端消费场景闭环。</w:t>
      </w:r>
    </w:p>
    <w:p>
      <w:r>
        <w:rPr>
          <w:rFonts w:ascii="等线(中文正文)" w:hAnsi="等线(中文正文)" w:cs="等线(中文正文)" w:eastAsia="等线(中文正文)"/>
          <w:b w:val="false"/>
          <w:i w:val="false"/>
          <w:sz w:val="20"/>
        </w:rPr>
        <w:t/>
      </w:r>
    </w:p>
    <w:p>
      <w:pPr>
        <w:pStyle w:val="ab"/>
        <w:numPr>
          <w:numId w:val="5"/>
        </w:numPr>
      </w:pPr>
      <w:r>
        <w:t>14:21 高端黄金珠宝成新奢侈品入口，沪宁商圈升级趋势显著</w:t>
      </w:r>
    </w:p>
    <w:p>
      <w:r>
        <w:rPr>
          <w:rFonts w:ascii="等线(中文正文)" w:hAnsi="等线(中文正文)" w:cs="等线(中文正文)" w:eastAsia="等线(中文正文)"/>
          <w:b w:val="false"/>
          <w:i w:val="false"/>
          <w:sz w:val="20"/>
        </w:rPr>
        <w:t>高端黄金珠宝正逐渐成为新的奢侈品入口，沪宁地区的核心商圈正在经历趣味升级，各大商场通过优化位置和面积，吸引高端黄金品牌入驻，提升单店销售额。高端黄金不仅能够稳定商场销售额，还能吸引高净值消费者，其高频效特性也意味着更高的租金回报。行业竞争维度从比克重、纯度转向比工艺、设计和品牌叙事，高端黄金珠宝品牌如老铺、均配、宝蓝等正形成梯队化竞争格局，推动行业进一步扩容。</w:t>
      </w:r>
    </w:p>
    <w:p>
      <w:r>
        <w:rPr>
          <w:rFonts w:ascii="等线(中文正文)" w:hAnsi="等线(中文正文)" w:cs="等线(中文正文)" w:eastAsia="等线(中文正文)"/>
          <w:b w:val="false"/>
          <w:i w:val="false"/>
          <w:sz w:val="20"/>
        </w:rPr>
        <w:t/>
      </w:r>
    </w:p>
    <w:p>
      <w:pPr>
        <w:pStyle w:val="ab"/>
        <w:numPr>
          <w:numId w:val="6"/>
        </w:numPr>
      </w:pPr>
      <w:r>
        <w:t>19:52 公司新定价策略提升消费者承接能力</w:t>
      </w:r>
    </w:p>
    <w:p>
      <w:r>
        <w:rPr>
          <w:rFonts w:ascii="等线(中文正文)" w:hAnsi="等线(中文正文)" w:cs="等线(中文正文)" w:eastAsia="等线(中文正文)"/>
          <w:b w:val="false"/>
          <w:i w:val="false"/>
          <w:sz w:val="20"/>
        </w:rPr>
        <w:t>二季度金价回落导致消费者观望，公司通过新品调整价格带、迭代款增加折扣弹性及线上减少克重敏感度等策略，有效恢复需求，同时保持毛利率目标，展现结构性调价能力。</w:t>
      </w:r>
    </w:p>
    <w:p>
      <w:r>
        <w:rPr>
          <w:rFonts w:ascii="等线(中文正文)" w:hAnsi="等线(中文正文)" w:cs="等线(中文正文)" w:eastAsia="等线(中文正文)"/>
          <w:b w:val="false"/>
          <w:i w:val="false"/>
          <w:sz w:val="20"/>
        </w:rPr>
        <w:t/>
      </w:r>
    </w:p>
    <w:p>
      <w:pPr>
        <w:pStyle w:val="ab"/>
        <w:numPr>
          <w:numId w:val="7"/>
        </w:numPr>
      </w:pPr>
      <w:r>
        <w:t>23:30 老铺黄金品牌升级与经营策略分析</w:t>
      </w:r>
    </w:p>
    <w:p>
      <w:r>
        <w:rPr>
          <w:rFonts w:ascii="等线(中文正文)" w:hAnsi="等线(中文正文)" w:cs="等线(中文正文)" w:eastAsia="等线(中文正文)"/>
          <w:b w:val="false"/>
          <w:i w:val="false"/>
          <w:sz w:val="20"/>
        </w:rPr>
        <w:t>报告聚焦于老铺黄金的未来发展方向，强调了三个关键点：一是海外经营逻辑的持续闭环，包括高客渠道的拓展、VIP款销售与旗舰店场景复制；二是核心商圈升级以拉开品牌差距，巩固高端黄金市场的领先地位；三是新定价体系的实施，旨在平滑销售周期，保持毛利率并增强需求承接能力。报告指出，老铺黄金正从依赖单品提价向拥有全面产品体系和全球化能力的高端消费品牌转型，并预告了后续潮宏基的专题汇报。</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首先对参加“商社观察开源视角2026系列对话会议”的领导和投资人表示欢迎，并介绍了自己作为开源证券零售社服务分析师的身份。本次会议的核心议题是老铺黄金的汇报，主题为“高端黄金的冰与火之歌”。他分享了对董事长徐总的深度调研结果以及与产业链上下游和品牌资深消费者交流的发现。特别提到了老铺黄金在二季度经营情况不佳的原因，包括自身大幅涨价和外部金价大跌带来的性价比下降，以及消费者信心的减弱。尽管面临挑战，他强调公司把二季度视为观察期，并期待在三季度和四季度看到销售和收入的逐步改善。他们预测第三季度销售额有望达到8到10亿，第四季度可能达到10到12亿至15亿，全年利润预测为大约65亿。此外，他还讨论了老铺黄金在分红、现金流和品牌长期逻辑方面的积极变化，以及产品、渠道、高客服务和出海策略等多方面的策略调整。最后，他总结说，尽管存在挑战，老铺黄金的长期增长潜力仍然强大，值得继续关注。</w:t>
      </w:r>
    </w:p>
    <w:p>
      <w:r>
        <w:rPr>
          <w:rFonts w:ascii="等线(中文正文)" w:hAnsi="等线(中文正文)" w:cs="等线(中文正文)" w:eastAsia="等线(中文正文)"/>
          <w:b w:val="false"/>
          <w:i w:val="false"/>
          <w:sz w:val="20"/>
        </w:rPr>
        <w:t/>
      </w:r>
    </w:p>
    <w:p>
      <w:pPr>
        <w:pStyle w:val="a7"/>
      </w:pPr>
      <w:r>
        <w:t>要点回顾</w:t>
      </w:r>
    </w:p>
    <w:p>
      <w:pPr>
        <w:pStyle w:val="ab"/>
      </w:pPr>
      <w:r>
        <w:t>中报情况如何，以及对三季度和下半年的销售有何预期？</w:t>
      </w:r>
    </w:p>
    <w:p>
      <w:r>
        <w:rPr>
          <w:rFonts w:ascii="等线(中文正文)" w:hAnsi="等线(中文正文)" w:cs="等线(中文正文)" w:eastAsia="等线(中文正文)"/>
          <w:b w:val="false"/>
          <w:i w:val="false"/>
          <w:sz w:val="20"/>
        </w:rPr>
        <w:t>发言人1：中报显示，二季度公司的经营情况并不理想，销售和利润受到自身大幅涨价和外部金价大跌带来的性价比优势下降的影响，消费者购买力有所减弱。不过，这可能是由于特殊环境下的偶然性，公司把二季度作为观察期，更关注三季度开始的边际向上的修复斜率。从最近SKP七夕活动和头部大代购的反馈来看，趋势向好，预计Q3销售有望达到8到10亿，Q4可能达到10到15亿，全年利润预测约为65亿左右。</w:t>
      </w:r>
    </w:p>
    <w:p>
      <w:r>
        <w:rPr>
          <w:rFonts w:ascii="等线(中文正文)" w:hAnsi="等线(中文正文)" w:cs="等线(中文正文)" w:eastAsia="等线(中文正文)"/>
          <w:b w:val="false"/>
          <w:i w:val="false"/>
          <w:sz w:val="20"/>
        </w:rPr>
        <w:t/>
      </w:r>
    </w:p>
    <w:p>
      <w:pPr>
        <w:pStyle w:val="ab"/>
      </w:pPr>
      <w:r>
        <w:t>对于公司长期逻辑的看法是什么？</w:t>
      </w:r>
    </w:p>
    <w:p>
      <w:r>
        <w:rPr>
          <w:rFonts w:ascii="等线(中文正文)" w:hAnsi="等线(中文正文)" w:cs="等线(中文正文)" w:eastAsia="等线(中文正文)"/>
          <w:b w:val="false"/>
          <w:i w:val="false"/>
          <w:sz w:val="20"/>
        </w:rPr>
        <w:t>发言人1：我们认为公司品牌长期逻辑并未打破，渠道优化升级持续推进，尤其是与高端商场的合作关系加强，获得良好的位置和品牌认可。此外，公司还计划在国内核心区域打造大旗舰门店，并有超预期的欧美市场出海计划，这些都是支持公司发展的积极因素。</w:t>
      </w:r>
    </w:p>
    <w:p>
      <w:r>
        <w:rPr>
          <w:rFonts w:ascii="等线(中文正文)" w:hAnsi="等线(中文正文)" w:cs="等线(中文正文)" w:eastAsia="等线(中文正文)"/>
          <w:b w:val="false"/>
          <w:i w:val="false"/>
          <w:sz w:val="20"/>
        </w:rPr>
        <w:t/>
      </w:r>
    </w:p>
    <w:p>
      <w:pPr>
        <w:pStyle w:val="ab"/>
      </w:pPr>
      <w:r>
        <w:t>产品层面的情况如何？</w:t>
      </w:r>
    </w:p>
    <w:p>
      <w:r>
        <w:rPr>
          <w:rFonts w:ascii="等线(中文正文)" w:hAnsi="等线(中文正文)" w:cs="等线(中文正文)" w:eastAsia="等线(中文正文)"/>
          <w:b w:val="false"/>
          <w:i w:val="false"/>
          <w:sz w:val="20"/>
        </w:rPr>
        <w:t>发言人1：上半年数据显示，公司的产品实现三位数增长，与公司的高端化战略密切相关。下半年应重点关注如罗列首饰盒等高端精细产品以及具有稀缺采购性的产品，进一步规划和打造核心竞争力。</w:t>
      </w:r>
    </w:p>
    <w:p>
      <w:r>
        <w:rPr>
          <w:rFonts w:ascii="等线(中文正文)" w:hAnsi="等线(中文正文)" w:cs="等线(中文正文)" w:eastAsia="等线(中文正文)"/>
          <w:b w:val="false"/>
          <w:i w:val="false"/>
          <w:sz w:val="20"/>
        </w:rPr>
        <w:t/>
      </w:r>
    </w:p>
    <w:p>
      <w:pPr>
        <w:pStyle w:val="ab"/>
      </w:pPr>
      <w:r>
        <w:t>对于短期推广和长期价值支撑的看法是什么？</w:t>
      </w:r>
    </w:p>
    <w:p>
      <w:r>
        <w:rPr>
          <w:rFonts w:ascii="等线(中文正文)" w:hAnsi="等线(中文正文)" w:cs="等线(中文正文)" w:eastAsia="等线(中文正文)"/>
          <w:b w:val="false"/>
          <w:i w:val="false"/>
          <w:sz w:val="20"/>
        </w:rPr>
        <w:t>发言人1：从短期来看，老铺的均价与国际金价的抬头趋势密切相关，将显著受益于金价上涨。长期来看，公司基本面扎实，高客积累、门店优化、产品研发创新能力以及金价上升通道等因素对公司长期价值提供持续支撑。结合当前市场情绪和筹码结构的变化，认为公司能够有效应对市场挑战。</w:t>
      </w:r>
    </w:p>
    <w:p>
      <w:r>
        <w:rPr>
          <w:rFonts w:ascii="等线(中文正文)" w:hAnsi="等线(中文正文)" w:cs="等线(中文正文)" w:eastAsia="等线(中文正文)"/>
          <w:b w:val="false"/>
          <w:i w:val="false"/>
          <w:sz w:val="20"/>
        </w:rPr>
        <w:t/>
      </w:r>
    </w:p>
    <w:p>
      <w:pPr>
        <w:pStyle w:val="ab"/>
      </w:pPr>
      <w:r>
        <w:t>公司当前最重要的变化是什么？金器对公司业务有何重要意义？</w:t>
      </w:r>
    </w:p>
    <w:p>
      <w:r>
        <w:rPr>
          <w:rFonts w:ascii="等线(中文正文)" w:hAnsi="等线(中文正文)" w:cs="等线(中文正文)" w:eastAsia="等线(中文正文)"/>
          <w:b w:val="false"/>
          <w:i w:val="false"/>
          <w:sz w:val="20"/>
        </w:rPr>
        <w:t>发言人1：公司目前最重要的变化是产品、高客渠道和海外业务开始形成一套完整的增长闭环。前端是产品升级，核心在于经济，2026年上半年经济销售实现三位数增长，即使在行业承压的背景下依然保持强劲。产品形态上，老布从传统首饰向器物型产品延伸，并通过FC作品展展示了多件珐琅、龙凤盾杯等新品，未来还会围绕金盏金碗、对杯等核心器型丰富产品体系。金器对公司业务有两大重要意义：一是更适合高净值客群，能够进入收藏、家族传承、礼赠等多个场景，客单价和成套购买潜力更强；二是通过复杂工艺如金胎珐琅、金胎漆器等进一步拉开工业壁垒，同时公司强调金器制作技艺作为核心竞争壁垒，并计划通过配套大型门店、茶室、书房和作品展重新创造消费场景。</w:t>
      </w:r>
    </w:p>
    <w:p>
      <w:r>
        <w:rPr>
          <w:rFonts w:ascii="等线(中文正文)" w:hAnsi="等线(中文正文)" w:cs="等线(中文正文)" w:eastAsia="等线(中文正文)"/>
          <w:b w:val="false"/>
          <w:i w:val="false"/>
          <w:sz w:val="20"/>
        </w:rPr>
        <w:t/>
      </w:r>
    </w:p>
    <w:p>
      <w:pPr>
        <w:pStyle w:val="ab"/>
      </w:pPr>
      <w:r>
        <w:t>海外市场的进展如何？</w:t>
      </w:r>
    </w:p>
    <w:p>
      <w:r>
        <w:rPr>
          <w:rFonts w:ascii="等线(中文正文)" w:hAnsi="等线(中文正文)" w:cs="等线(中文正文)" w:eastAsia="等线(中文正文)"/>
          <w:b w:val="false"/>
          <w:i w:val="false"/>
          <w:sz w:val="20"/>
        </w:rPr>
        <w:t>发言人1：海外方面，新加坡门店销售显著超预期，目前在洽谈位置升级，复制了在国内高端商场经历的路径，先入高端商场再用销售和评价证明自己，进而获得更好的位置。在美国市场，公司坚持进入洛杉矶核心商圈，日本银座虽已拿到门面但暂时暂停推进。整体来看，公司不追求快速开店，而是坚持核心城市核心商业体的战略定位。</w:t>
      </w:r>
    </w:p>
    <w:p>
      <w:r>
        <w:rPr>
          <w:rFonts w:ascii="等线(中文正文)" w:hAnsi="等线(中文正文)" w:cs="等线(中文正文)" w:eastAsia="等线(中文正文)"/>
          <w:b w:val="false"/>
          <w:i w:val="false"/>
          <w:sz w:val="20"/>
        </w:rPr>
        <w:t/>
      </w:r>
    </w:p>
    <w:p>
      <w:pPr>
        <w:pStyle w:val="ab"/>
      </w:pPr>
      <w:r>
        <w:t>公司下半年的产品主线和高科运营方面有何新动态？公司渠道建设的新策略是什么？</w:t>
      </w:r>
    </w:p>
    <w:p>
      <w:r>
        <w:rPr>
          <w:rFonts w:ascii="等线(中文正文)" w:hAnsi="等线(中文正文)" w:cs="等线(中文正文)" w:eastAsia="等线(中文正文)"/>
          <w:b w:val="false"/>
          <w:i w:val="false"/>
          <w:sz w:val="20"/>
        </w:rPr>
        <w:t>发言人1：下半年公司倾向于以金盏金碗对杯为主线，强化金气定位并通过顶级点位巡展高客活动推广精细。在高科运营方面，上半年复购率已从35%提升至47%，公司开始将高科体系向门店下沉，部分门店将配置1至2名高科经理，并搭建立体的高科管理体系。此外，公司还会推出针对高科VIP款产品，部分款式仅限高科购买。公司在渠道建设上不再单纯追求门店数量，而是注重门店面积和场景升级，例如在上海新天地加入茶室布局，优化恒隆港汇、杭州大厦等门店位置。目的是为了让产品高客服务在更好的空间中呈现，未来门店功能也将发生变化，不再仅限于销售，还将承担作品展示、高科接待、文化体验和品牌传播等功能。</w:t>
      </w:r>
    </w:p>
    <w:p>
      <w:r>
        <w:rPr>
          <w:rFonts w:ascii="等线(中文正文)" w:hAnsi="等线(中文正文)" w:cs="等线(中文正文)" w:eastAsia="等线(中文正文)"/>
          <w:b w:val="false"/>
          <w:i w:val="false"/>
          <w:sz w:val="20"/>
        </w:rPr>
        <w:t/>
      </w:r>
    </w:p>
    <w:p>
      <w:pPr>
        <w:pStyle w:val="ab"/>
      </w:pPr>
      <w:r>
        <w:t>对于海外市场的长期规划是什么？</w:t>
      </w:r>
    </w:p>
    <w:p>
      <w:r>
        <w:rPr>
          <w:rFonts w:ascii="等线(中文正文)" w:hAnsi="等线(中文正文)" w:cs="等线(中文正文)" w:eastAsia="等线(中文正文)"/>
          <w:b w:val="false"/>
          <w:i w:val="false"/>
          <w:sz w:val="20"/>
        </w:rPr>
        <w:t>发言人1：长期来看，公司希望验证两点：一是能否将中国经典转化为世界经典；二是能否将国内精细高科大店核心商圈的模式复制到境外。如果验证成功，老铺的海外空间将不仅限于华人消费者，有机会进一步拓展至当地高净值人群。</w:t>
      </w:r>
    </w:p>
    <w:p>
      <w:r>
        <w:rPr>
          <w:rFonts w:ascii="等线(中文正文)" w:hAnsi="等线(中文正文)" w:cs="等线(中文正文)" w:eastAsia="等线(中文正文)"/>
          <w:b w:val="false"/>
          <w:i w:val="false"/>
          <w:sz w:val="20"/>
        </w:rPr>
        <w:t/>
      </w:r>
    </w:p>
    <w:p>
      <w:pPr>
        <w:pStyle w:val="ab"/>
      </w:pPr>
      <w:r>
        <w:t>国内渠道的变化有哪些？</w:t>
      </w:r>
    </w:p>
    <w:p>
      <w:r>
        <w:rPr>
          <w:rFonts w:ascii="等线(中文正文)" w:hAnsi="等线(中文正文)" w:cs="等线(中文正文)" w:eastAsia="等线(中文正文)"/>
          <w:b w:val="false"/>
          <w:i w:val="false"/>
          <w:sz w:val="20"/>
        </w:rPr>
        <w:t>发言人1：国内渠道经历了核心商圈趣味升级，如老铺门店进行扩容和位置优化，单店销售通常能提升20%至30%。头部商场招商逻辑也在发生变化，从过去国际大盘优先转向真正具有销售势能和高科吸引力的品牌优先。商场愿意引进高端黄金的原因在于其能守住销售额、吸引高净值消费者转向本土高端黄金，以及高频效带来的高租金回报。</w:t>
      </w:r>
    </w:p>
    <w:p>
      <w:r>
        <w:rPr>
          <w:rFonts w:ascii="等线(中文正文)" w:hAnsi="等线(中文正文)" w:cs="等线(中文正文)" w:eastAsia="等线(中文正文)"/>
          <w:b w:val="false"/>
          <w:i w:val="false"/>
          <w:sz w:val="20"/>
        </w:rPr>
        <w:t/>
      </w:r>
    </w:p>
    <w:p>
      <w:pPr>
        <w:pStyle w:val="ab"/>
      </w:pPr>
      <w:r>
        <w:t>商场中高端黄金品牌布局的情况如何？</w:t>
      </w:r>
    </w:p>
    <w:p>
      <w:r>
        <w:rPr>
          <w:rFonts w:ascii="等线(中文正文)" w:hAnsi="等线(中文正文)" w:cs="等线(中文正文)" w:eastAsia="等线(中文正文)"/>
          <w:b w:val="false"/>
          <w:i w:val="false"/>
          <w:sz w:val="20"/>
        </w:rPr>
        <w:t>发言人1：高端黄金品牌在商场中的布局呈现上升趋势，商场倾向于将更好的位置分配给销售表现优秀、坪效高的品牌。例如南京德基已经形成了高端古法黄金矩阵，并在向上海、杭州等地扩散。杭州大厦、万象城等头部商业体也开始引入高端黄金品牌，如老铺、金匠等。这种现象意味着高端黄金市场正逐步成为新的饰品潮流入口，不仅竞争加剧，也促使行业扩容。</w:t>
      </w:r>
    </w:p>
    <w:p>
      <w:r>
        <w:rPr>
          <w:rFonts w:ascii="等线(中文正文)" w:hAnsi="等线(中文正文)" w:cs="等线(中文正文)" w:eastAsia="等线(中文正文)"/>
          <w:b w:val="false"/>
          <w:i w:val="false"/>
          <w:sz w:val="20"/>
        </w:rPr>
        <w:t/>
      </w:r>
    </w:p>
    <w:p>
      <w:pPr>
        <w:pStyle w:val="ab"/>
      </w:pPr>
      <w:r>
        <w:t>对于老铺黄金后续发展，需要关注哪些重点？</w:t>
      </w:r>
    </w:p>
    <w:p>
      <w:r>
        <w:rPr>
          <w:rFonts w:ascii="等线(中文正文)" w:hAnsi="等线(中文正文)" w:cs="等线(中文正文)" w:eastAsia="等线(中文正文)"/>
          <w:b w:val="false"/>
          <w:i w:val="false"/>
          <w:sz w:val="20"/>
        </w:rPr>
        <w:t>发言人1：后续重点应关注三个方面：第一，产品高客渠道是否能实现闭环经营，通过提高客单价、复购率和旗舰店复制模式；第二，核心商圈的升级是否能拉开与其他品牌的差距，特别是在高端黄金市场中占据优势地位；第三，新定价体系是否能在守住毛利率目标的同时，有效平滑销售周期，提高对市场需求的承接能力，降低对单一金价周期的依赖。长远来看，老铺黄金正逐步转型为拥有产品体系、高客体系、视觉管理和全球化能力的高端消费品牌。</w:t>
      </w:r>
    </w:p>
    <w:p>
      <w:r>
        <w:rPr>
          <w:rFonts w:ascii="等线(中文正文)" w:hAnsi="等线(中文正文)" w:cs="等线(中文正文)" w:eastAsia="等线(中文正文)"/>
          <w:b w:val="false"/>
          <w:i w:val="false"/>
          <w:sz w:val="20"/>
        </w:rPr>
        <w:t/>
      </w:r>
    </w:p>
    <w:p>
      <w:pPr>
        <w:pStyle w:val="ab"/>
      </w:pPr>
      <w:r>
        <w:t>高端黄金品牌的竞争维度有何变化？</w:t>
      </w:r>
    </w:p>
    <w:p>
      <w:r>
        <w:rPr>
          <w:rFonts w:ascii="等线(中文正文)" w:hAnsi="等线(中文正文)" w:cs="等线(中文正文)" w:eastAsia="等线(中文正文)"/>
          <w:b w:val="false"/>
          <w:i w:val="false"/>
          <w:sz w:val="20"/>
        </w:rPr>
        <w:t>发言人1：高端黄金珠宝行业的竞争维度从过去的比克重、纯度和渠道转变为比工艺、设计和品牌叙事。商家开始注重场景营销和品牌视觉管理，比如明朝通过围挡展示原创设计手稿，进行艺术展陈，以吸引消费者关注并教育市场。此外，老铺也在通过举办艺术展览、茶室等活动强化自身品牌形象和视觉表达。</w:t>
      </w:r>
    </w:p>
    <w:p>
      <w:r>
        <w:rPr>
          <w:rFonts w:ascii="等线(中文正文)" w:hAnsi="等线(中文正文)" w:cs="等线(中文正文)" w:eastAsia="等线(中文正文)"/>
          <w:b w:val="false"/>
          <w:i w:val="false"/>
          <w:sz w:val="20"/>
        </w:rPr>
        <w:t/>
      </w:r>
    </w:p>
    <w:p>
      <w:pPr>
        <w:pStyle w:val="ab"/>
      </w:pPr>
      <w:r>
        <w:t>渠道升级方面，老铺有哪些关键点值得关注？</w:t>
      </w:r>
    </w:p>
    <w:p>
      <w:r>
        <w:rPr>
          <w:rFonts w:ascii="等线(中文正文)" w:hAnsi="等线(中文正文)" w:cs="等线(中文正文)" w:eastAsia="等线(中文正文)"/>
          <w:b w:val="false"/>
          <w:i w:val="false"/>
          <w:sz w:val="20"/>
        </w:rPr>
        <w:t>发言人1：渠道升级的关键在于三个方面：首先，门店位置是否更加核心；其次，门店面积和场景是否趋向高端化；最后，高客获客能力和视觉管理能力是否接近国际高线市场的水平。</w:t>
      </w:r>
    </w:p>
    <w:p>
      <w:r>
        <w:rPr>
          <w:rFonts w:ascii="等线(中文正文)" w:hAnsi="等线(中文正文)" w:cs="等线(中文正文)" w:eastAsia="等线(中文正文)"/>
          <w:b w:val="false"/>
          <w:i w:val="false"/>
          <w:sz w:val="20"/>
        </w:rPr>
        <w:t/>
      </w:r>
    </w:p>
    <w:p>
      <w:pPr>
        <w:pStyle w:val="ab"/>
      </w:pPr>
      <w:r>
        <w:t>近期老铺在定价策略上有哪些新调整？</w:t>
      </w:r>
    </w:p>
    <w:p>
      <w:r>
        <w:rPr>
          <w:rFonts w:ascii="等线(中文正文)" w:hAnsi="等线(中文正文)" w:cs="等线(中文正文)" w:eastAsia="等线(中文正文)"/>
          <w:b w:val="false"/>
          <w:i w:val="false"/>
          <w:sz w:val="20"/>
        </w:rPr>
        <w:t>发言人1：新定价策略主要体现在三个方面：一是通过更换材料，在原有价格体系下推出新粉蓝宝版本，价格带得到调整，市场接受度较高；二是增加折上折促销活动，提高消费者购买意愿；三是线上天猫官旗对产品规格进行调整，简化视觉展示并减少消费者对克重和单价的过度比较，引导消费者关注款式设计和总价。新定价策略旨在不破坏品牌价格毛利率底线的前提下提升消费者承接能力，实现产品迭代和活动管理的精细化运作。</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