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华源交运 _ 航空星谈 线上会议巡演系列：东航物流：空运卡位，乘出口景气东风 260827_导读</w:t>
      </w:r>
    </w:p>
    <w:p>
      <w:pPr>
        <w:pStyle w:val="a0"/>
        <w:jc w:val="center"/>
      </w:pPr>
      <w:r>
        <w:t>2026年08月27日 22:07</w:t>
      </w:r>
    </w:p>
    <w:p>
      <w:pPr>
        <w:pStyle w:val="a7"/>
      </w:pPr>
      <w:r>
        <w:t>关键词</w:t>
      </w:r>
    </w:p>
    <w:p>
      <w:r>
        <w:rPr>
          <w:rFonts w:ascii="等线(中文正文)" w:hAnsi="等线(中文正文)" w:cs="等线(中文正文)" w:eastAsia="等线(中文正文)"/>
          <w:b w:val="false"/>
          <w:i w:val="false"/>
          <w:sz w:val="20"/>
        </w:rPr>
        <w:t xml:space="preserve">东航物流 全货机 货量 毛利率 航空速运 海外仓 产能利用率 设备出口 油价 燃油附加 PE 股息率 长三角 浦东机场 中美航班 宽体机 贸易流 卡位优势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过去一年，公司业绩表现稳健，北美市场波动对其影响减轻，得益于海外仓储策略优化，有效应对货物运输减少挑战，证明海外仓布局非负面影响。产能利用率刷新纪录，核心主业毛利率提升，得益于新增四架全货机，全年平均可用机队增至16架，显著提升运输效率与收入，其中航空速运板块成绩斐然，跃升为最大业务板块。面对高油价压力，公司通过长期协议和燃油附加费机制成功转嫁成本，展现强劲经营韧性。展望未来，公司业绩增长预期乐观，竞争优势和市场份额有望进一步扩大，预计净利润将持续攀升。同时，公司估值合理，股息率高，展现出良好的投资价值。</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分析公司业绩受北美事件影响及未来展望</w:t>
      </w:r>
    </w:p>
    <w:p>
      <w:r>
        <w:rPr>
          <w:rFonts w:ascii="等线(中文正文)" w:hAnsi="等线(中文正文)" w:cs="等线(中文正文)" w:eastAsia="等线(中文正文)"/>
          <w:b w:val="false"/>
          <w:i w:val="false"/>
          <w:sz w:val="20"/>
        </w:rPr>
        <w:t>对话讨论了北美事件对公司业绩的影响，指出影响逐渐削弱，海外仓转移未显著减少货量，且欧洲市场影响较小。预计今年影响可控，去年Q4设备出口订单补充为业绩增长提供支撑，看好公司未来业绩上升。</w:t>
      </w:r>
    </w:p>
    <w:p>
      <w:r>
        <w:rPr>
          <w:rFonts w:ascii="等线(中文正文)" w:hAnsi="等线(中文正文)" w:cs="等线(中文正文)" w:eastAsia="等线(中文正文)"/>
          <w:b w:val="false"/>
          <w:i w:val="false"/>
          <w:sz w:val="20"/>
        </w:rPr>
        <w:t/>
      </w:r>
    </w:p>
    <w:p>
      <w:pPr>
        <w:pStyle w:val="ab"/>
        <w:numPr>
          <w:numId w:val="2"/>
        </w:numPr>
      </w:pPr>
      <w:r>
        <w:t>01:02 公司产能利用率与航空速运板块收入增长分析</w:t>
      </w:r>
    </w:p>
    <w:p>
      <w:r>
        <w:rPr>
          <w:rFonts w:ascii="等线(中文正文)" w:hAnsi="等线(中文正文)" w:cs="等线(中文正文)" w:eastAsia="等线(中文正文)"/>
          <w:b w:val="false"/>
          <w:i w:val="false"/>
          <w:sz w:val="20"/>
        </w:rPr>
        <w:t>公司去年产能利用率创新高，航空速运板块收入增长显著，毛利率提升。尽管跨境电商减少四成，运输量仍同比增长10%。预计今年高价值货种占比提升将推动毛利率进一步增长，航空速运板块成最大业务板块。</w:t>
      </w:r>
    </w:p>
    <w:p>
      <w:r>
        <w:rPr>
          <w:rFonts w:ascii="等线(中文正文)" w:hAnsi="等线(中文正文)" w:cs="等线(中文正文)" w:eastAsia="等线(中文正文)"/>
          <w:b w:val="false"/>
          <w:i w:val="false"/>
          <w:sz w:val="20"/>
        </w:rPr>
        <w:t/>
      </w:r>
    </w:p>
    <w:p>
      <w:pPr>
        <w:pStyle w:val="ab"/>
        <w:numPr>
          <w:numId w:val="3"/>
        </w:numPr>
      </w:pPr>
      <w:r>
        <w:t>02:13 高油价下航空业业绩测算与尾部风险分析</w:t>
      </w:r>
    </w:p>
    <w:p>
      <w:r>
        <w:rPr>
          <w:rFonts w:ascii="等线(中文正文)" w:hAnsi="等线(中文正文)" w:cs="等线(中文正文)" w:eastAsia="等线(中文正文)"/>
          <w:b w:val="false"/>
          <w:i w:val="false"/>
          <w:sz w:val="20"/>
        </w:rPr>
        <w:t>在高油价环境下，航空业面临业绩波动，但部分公司如华西航空等仍能维持正向业绩。分析指出，东航物流、渤海租赁和中银航空租赁等标的受油价影响较小，且具有分红逻辑，业绩确定性更高。公司通过燃油附加费转嫁部分油价上涨，结合运价和货量增长，完全能够应对油价压力，展现出比客运更强的韧性。</w:t>
      </w:r>
    </w:p>
    <w:p>
      <w:r>
        <w:rPr>
          <w:rFonts w:ascii="等线(中文正文)" w:hAnsi="等线(中文正文)" w:cs="等线(中文正文)" w:eastAsia="等线(中文正文)"/>
          <w:b w:val="false"/>
          <w:i w:val="false"/>
          <w:sz w:val="20"/>
        </w:rPr>
        <w:t/>
      </w:r>
    </w:p>
    <w:p>
      <w:pPr>
        <w:pStyle w:val="ab"/>
        <w:numPr>
          <w:numId w:val="4"/>
        </w:numPr>
      </w:pPr>
      <w:r>
        <w:t>04:40 航空货运巨头业绩强劲，东航货运表现突出</w:t>
      </w:r>
    </w:p>
    <w:p>
      <w:r>
        <w:rPr>
          <w:rFonts w:ascii="等线(中文正文)" w:hAnsi="等线(中文正文)" w:cs="等线(中文正文)" w:eastAsia="等线(中文正文)"/>
          <w:b w:val="false"/>
          <w:i w:val="false"/>
          <w:sz w:val="20"/>
        </w:rPr>
        <w:t>对话中对比了三大航空货运公司近期表现，东航货运在航班架次、理论业载和货机日利用小时上均领先行业，受益于长三角和浦东机场的腹地优势。预计未来几年东航货运净利润将持续增长，当前估值便宜且股息率高，看好其长期业绩上行潜力。</w:t>
      </w:r>
    </w:p>
    <w:p>
      <w:r>
        <w:rPr>
          <w:rFonts w:ascii="等线(中文正文)" w:hAnsi="等线(中文正文)" w:cs="等线(中文正文)" w:eastAsia="等线(中文正文)"/>
          <w:b w:val="false"/>
          <w:i w:val="false"/>
          <w:sz w:val="20"/>
        </w:rPr>
        <w:t/>
      </w:r>
    </w:p>
    <w:p>
      <w:pPr>
        <w:pStyle w:val="ab"/>
        <w:numPr>
          <w:numId w:val="5"/>
        </w:numPr>
      </w:pPr>
      <w:r>
        <w:t>07:07 中国航空货运市场的发展与机遇</w:t>
      </w:r>
    </w:p>
    <w:p>
      <w:r>
        <w:rPr>
          <w:rFonts w:ascii="等线(中文正文)" w:hAnsi="等线(中文正文)" w:cs="等线(中文正文)" w:eastAsia="等线(中文正文)"/>
          <w:b w:val="false"/>
          <w:i w:val="false"/>
          <w:sz w:val="20"/>
        </w:rPr>
        <w:t>对话深入探讨了中国航空货运市场的发展趋势，指出贸易流变化和全货机引入是推动中国货运航司份额提升的关键因素。强调夜间货机运行的优势，以及中国航司在国际货运市场中的卡位优势，看好未来增长潜力。</w:t>
      </w:r>
    </w:p>
    <w:p>
      <w:r>
        <w:rPr>
          <w:rFonts w:ascii="等线(中文正文)" w:hAnsi="等线(中文正文)" w:cs="等线(中文正文)" w:eastAsia="等线(中文正文)"/>
          <w:b w:val="false"/>
          <w:i w:val="false"/>
          <w:sz w:val="20"/>
        </w:rPr>
        <w:t/>
      </w:r>
    </w:p>
    <w:p>
      <w:pPr>
        <w:pStyle w:val="a7"/>
      </w:pPr>
      <w:r>
        <w:t>发言总结</w:t>
      </w:r>
    </w:p>
    <w:p>
      <w:pPr>
        <w:pStyle w:val="ab"/>
        <w:numPr>
          <w:numId w:val="6"/>
        </w:numPr>
      </w:pPr>
      <w:r>
        <w:t>发言人1</w:t>
      </w:r>
    </w:p>
    <w:p>
      <w:r>
        <w:rPr>
          <w:rFonts w:ascii="等线(中文正文)" w:hAnsi="等线(中文正文)" w:cs="等线(中文正文)" w:eastAsia="等线(中文正文)"/>
          <w:b w:val="false"/>
          <w:i w:val="false"/>
          <w:sz w:val="20"/>
        </w:rPr>
        <w:t>讨论了公司面对北美的影响、产能利用率创新高、高价值货品运输增长、航空速运板块收入增长、高油价环境下的业绩测算及公司业绩展望等多个方面。面对北美市场的影响，公司影响逐渐削弱，且海外仓业务不仅未成为利空因素，反而通过提高运输量和毛利率对公司产生积极影响。去年设备出口增加和产能利用率提升预示着公司业绩有望继续增长。在高油价环境下，公司通过长协和散单策略有效转嫁油价上涨压力，展现出了业绩的韧性。预计未来公司业绩将持续上行，他因此推荐公司作为投资标的。</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问：去年北美事件对公司的影响具体是什么样的？</w:t>
      </w:r>
    </w:p>
    <w:p>
      <w:r>
        <w:rPr>
          <w:rFonts w:ascii="等线(中文正文)" w:hAnsi="等线(中文正文)" w:cs="等线(中文正文)" w:eastAsia="等线(中文正文)"/>
          <w:b w:val="false"/>
          <w:i w:val="false"/>
          <w:sz w:val="20"/>
        </w:rPr>
        <w:t>发言人1 答：北美事件对公司的影响是逐渐减弱的。转到海外仓后，东航物流承运的货量并未大幅减少，海外仓对公司并非利空，因为有些货品无法完全转移到其他运输方式。此外，欧洲方面的动作相比美国的影响较小，预计今年受一些影响但仍在可控范围内。同时，去年Q4公司的设备出口订单有所补充，今年业绩上升幅度更高。</w:t>
      </w:r>
    </w:p>
    <w:p>
      <w:r>
        <w:rPr>
          <w:rFonts w:ascii="等线(中文正文)" w:hAnsi="等线(中文正文)" w:cs="等线(中文正文)" w:eastAsia="等线(中文正文)"/>
          <w:b w:val="false"/>
          <w:i w:val="false"/>
          <w:sz w:val="20"/>
        </w:rPr>
        <w:t/>
      </w:r>
    </w:p>
    <w:p>
      <w:pPr>
        <w:pStyle w:val="ab"/>
      </w:pPr>
      <w:r>
        <w:t>发言人1 问：公司去年的产能利用率和毛利率情况如何？</w:t>
      </w:r>
    </w:p>
    <w:p>
      <w:r>
        <w:rPr>
          <w:rFonts w:ascii="等线(中文正文)" w:hAnsi="等线(中文正文)" w:cs="等线(中文正文)" w:eastAsia="等线(中文正文)"/>
          <w:b w:val="false"/>
          <w:i w:val="false"/>
          <w:sz w:val="20"/>
        </w:rPr>
        <w:t>发言人1 答：去年公司产能利用率创历史新高，核心主业毛利率提升。引进了四架全货机，全年平均可用16架，今年目前已有20架全货机可用运力拓展，日利用率达到了13个小时，同比增长并创历史记录。即使在跨境电商有所减少的情况下，公司货油周转量和运输量仍同比增长11%和10%。</w:t>
      </w:r>
    </w:p>
    <w:p>
      <w:r>
        <w:rPr>
          <w:rFonts w:ascii="等线(中文正文)" w:hAnsi="等线(中文正文)" w:cs="等线(中文正文)" w:eastAsia="等线(中文正文)"/>
          <w:b w:val="false"/>
          <w:i w:val="false"/>
          <w:sz w:val="20"/>
        </w:rPr>
        <w:t/>
      </w:r>
    </w:p>
    <w:p>
      <w:pPr>
        <w:pStyle w:val="ab"/>
      </w:pPr>
      <w:r>
        <w:t>发言人1 问：航空速运板块的表现以及对未来业绩的预期是怎样的？</w:t>
      </w:r>
    </w:p>
    <w:p>
      <w:r>
        <w:rPr>
          <w:rFonts w:ascii="等线(中文正文)" w:hAnsi="等线(中文正文)" w:cs="等线(中文正文)" w:eastAsia="等线(中文正文)"/>
          <w:b w:val="false"/>
          <w:i w:val="false"/>
          <w:sz w:val="20"/>
        </w:rPr>
        <w:t>发言人1 答：航空速运板块收入增长迅猛，规模超过综合物流解决方案，成为第一大业务板块，毛利率也有所上升。随着公司运输量增长，货种中高价值占比增加，预计公司毛利率将进一步提升。</w:t>
      </w:r>
    </w:p>
    <w:p>
      <w:r>
        <w:rPr>
          <w:rFonts w:ascii="等线(中文正文)" w:hAnsi="等线(中文正文)" w:cs="等线(中文正文)" w:eastAsia="等线(中文正文)"/>
          <w:b w:val="false"/>
          <w:i w:val="false"/>
          <w:sz w:val="20"/>
        </w:rPr>
        <w:t/>
      </w:r>
    </w:p>
    <w:p>
      <w:pPr>
        <w:pStyle w:val="ab"/>
      </w:pPr>
      <w:r>
        <w:t>发言人1 问：在当前高油价环境下，对公司业绩的影响如何评估？</w:t>
      </w:r>
    </w:p>
    <w:p>
      <w:r>
        <w:rPr>
          <w:rFonts w:ascii="等线(中文正文)" w:hAnsi="等线(中文正文)" w:cs="等线(中文正文)" w:eastAsia="等线(中文正文)"/>
          <w:b w:val="false"/>
          <w:i w:val="false"/>
          <w:sz w:val="20"/>
        </w:rPr>
        <w:t>发言人1 答：在高油价环境下，公司通过分析将推特分为三个层次。第一层次是华西航空、春秋航空和海航控股等，在油价高压下仍能维持业绩正向；第二层次是东航物流、渤海租赁和中银航空租赁等，这些公司基本面确定向上，有分红逻辑且业绩短期兑现性高，尾部风险相对较小。由于公司长期合同占比接近60%，虽然油价上涨，但由于锁价机制和燃油附加机制，公司能够部分转嫁给客户，整体业绩韧性较强。</w:t>
      </w:r>
    </w:p>
    <w:p>
      <w:r>
        <w:rPr>
          <w:rFonts w:ascii="等线(中文正文)" w:hAnsi="等线(中文正文)" w:cs="等线(中文正文)" w:eastAsia="等线(中文正文)"/>
          <w:b w:val="false"/>
          <w:i w:val="false"/>
          <w:sz w:val="20"/>
        </w:rPr>
        <w:t/>
      </w:r>
    </w:p>
    <w:p>
      <w:pPr>
        <w:pStyle w:val="ab"/>
      </w:pPr>
      <w:r>
        <w:t>发言人1 问：公司与其他三大航空货运的表现有何异同？</w:t>
      </w:r>
    </w:p>
    <w:p>
      <w:r>
        <w:rPr>
          <w:rFonts w:ascii="等线(中文正文)" w:hAnsi="等线(中文正文)" w:cs="等线(中文正文)" w:eastAsia="等线(中文正文)"/>
          <w:b w:val="false"/>
          <w:i w:val="false"/>
          <w:sz w:val="20"/>
        </w:rPr>
        <w:t>发言人1 答：公司在航班架次、货机日利用小时等经营表现上均优于国航和南航货运，显示出强劲的市场竞争力。其卡位优势体现在长三角地区的腹地优势以及设备驱动下的出口量增长。根据最新数据，预计公司未来几年净利润将持续增长。</w:t>
      </w:r>
    </w:p>
    <w:p>
      <w:r>
        <w:rPr>
          <w:rFonts w:ascii="等线(中文正文)" w:hAnsi="等线(中文正文)" w:cs="等线(中文正文)" w:eastAsia="等线(中文正文)"/>
          <w:b w:val="false"/>
          <w:i w:val="false"/>
          <w:sz w:val="20"/>
        </w:rPr>
        <w:t/>
      </w:r>
    </w:p>
    <w:p>
      <w:pPr>
        <w:pStyle w:val="ab"/>
      </w:pPr>
      <w:r>
        <w:t>发言人1 问：对于公司未来的业绩预测和估值如何？</w:t>
      </w:r>
    </w:p>
    <w:p>
      <w:r>
        <w:rPr>
          <w:rFonts w:ascii="等线(中文正文)" w:hAnsi="等线(中文正文)" w:cs="等线(中文正文)" w:eastAsia="等线(中文正文)"/>
          <w:b w:val="false"/>
          <w:i w:val="false"/>
          <w:sz w:val="20"/>
        </w:rPr>
        <w:t>发言人1 答：预计2026年至2028年公司规模净利润分别为29.8亿元、33.4亿元和37.7亿元，同比增速分别为11%、12%和12.7%。当前股价对应PE分别为十倍、8.9倍和7.8倍，同时股息率超过4%。鉴于长期受益于行业贝塔上行、估值便宜以及分红吸引力强，目前配置该公司股票完全合理。另外，随着中国航空货运格局改变和全货机优势提升，公司市场份额有望持续增长，即使货机数量有限，日历日用小时仍有提升空间，因此看好公司未来表现。</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2026-08-27T14:13:00Z</dcterms:created>
  <dc:creator>Apache POI</dc:creator>
</cp:coreProperties>
</file>