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加拿大皇家银行[RY.N]2026财年第三季度业绩交流会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AI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讨论中，公司强调了在酒店、高级养老院以及企业犯罪集团等领域的投资表现，特别是在这些领域的保留率和投资成果。零售业务方面，公司对客户保留率和业务表现感到满意，尤其是在深化与HSBC客户的关系方面取得进展。资本比率方面，公司对未来资本充足率持乐观态度，并考虑在不确定性增加的环境下调整资本比率。CNB业务的发展受到重视，公司强调了有机增长的机会，并探讨了通过整合其他银行扩大规模的可能性，尤其是在美国市场。银行管理层还讨论了2026年第三季度的强劲财务表现，包括创纪录的盈利、收入增长和成本效率的优化，以及通过多元化收入来源和强化客户关系来创造持久价值的策略。此外，银行还提到了在全球交易银行业务、AI技术投资以及财富管理部门利润增长方面的战略计划，强调了其在全球交易银行业务中的竞争优势，并讨论了资本管理策略以支持增长并应对市场不确定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RBC银行三季度业绩强劲增长</w:t>
      </w:r>
    </w:p>
    <w:p>
      <w:r>
        <w:rPr>
          <w:rFonts w:ascii="等线(中文正文)" w:hAnsi="等线(中文正文)" w:cs="等线(中文正文)" w:eastAsia="等线(中文正文)"/>
          <w:b w:val="false"/>
          <w:i w:val="false"/>
          <w:sz w:val="20"/>
        </w:rPr>
        <w:t>RBC银行报告了三季度的强劲业绩，包括创纪录的11%年同比增长收益，收入增长9%，非利息收入与利息收入均衡，成本效率提升，股东回报率高，资本部署有效，市场表现优异，多元化业务模式和战略执行得当，展望加拿大经济和全球市场环境，积极应对挑战，持续优化资本结构和股东回报策略。</w:t>
      </w:r>
    </w:p>
    <w:p>
      <w:r>
        <w:rPr>
          <w:rFonts w:ascii="等线(中文正文)" w:hAnsi="等线(中文正文)" w:cs="等线(中文正文)" w:eastAsia="等线(中文正文)"/>
          <w:b w:val="false"/>
          <w:i w:val="false"/>
          <w:sz w:val="20"/>
        </w:rPr>
        <w:t/>
      </w:r>
    </w:p>
    <w:p>
      <w:pPr>
        <w:pStyle w:val="ab"/>
        <w:numPr>
          <w:numId w:val="2"/>
        </w:numPr>
      </w:pPr>
      <w:r>
        <w:t>04:50 加拿大银行业绩与市场策略分析</w:t>
      </w:r>
    </w:p>
    <w:p>
      <w:r>
        <w:rPr>
          <w:rFonts w:ascii="等线(中文正文)" w:hAnsi="等线(中文正文)" w:cs="等线(中文正文)" w:eastAsia="等线(中文正文)"/>
          <w:b w:val="false"/>
          <w:i w:val="false"/>
          <w:sz w:val="20"/>
        </w:rPr>
        <w:t>对话围绕加拿大银行的业绩和市场策略展开，重点提及了个人银行和商业银行业务的强劲表现，包括记录营收、贷款和存款的增长，以及在不确定性环境中保持客户导向和战略定位的重要性。讨论了通过数字化、创新产品和深化客户关系来驱动增长，同时强调了在加拿大市场中的领先地位和对国家建设项目的支持。</w:t>
      </w:r>
    </w:p>
    <w:p>
      <w:r>
        <w:rPr>
          <w:rFonts w:ascii="等线(中文正文)" w:hAnsi="等线(中文正文)" w:cs="等线(中文正文)" w:eastAsia="等线(中文正文)"/>
          <w:b w:val="false"/>
          <w:i w:val="false"/>
          <w:sz w:val="20"/>
        </w:rPr>
        <w:t/>
      </w:r>
    </w:p>
    <w:p>
      <w:pPr>
        <w:pStyle w:val="ab"/>
        <w:numPr>
          <w:numId w:val="3"/>
        </w:numPr>
      </w:pPr>
      <w:r>
        <w:t>08:32 全球投资银行与财富管理业务的强劲表现与未来规划</w:t>
      </w:r>
    </w:p>
    <w:p>
      <w:r>
        <w:rPr>
          <w:rFonts w:ascii="等线(中文正文)" w:hAnsi="等线(中文正文)" w:cs="等线(中文正文)" w:eastAsia="等线(中文正文)"/>
          <w:b w:val="false"/>
          <w:i w:val="false"/>
          <w:sz w:val="20"/>
        </w:rPr>
        <w:t>全球顶级投资银行报告了创纪录的营收和收入，得益于强劲的市场表现和战略增长举措。投资银行业务营收显著增长，全球市场营收提升，财富管理业务持续发展，包括加拿大和美国的财富管理业务均实现两位数增长。展望未来，公司计划扩大交易银行业务，提升美国区域效率，并加速AI技术应用，以实现长期增长目标。</w:t>
      </w:r>
    </w:p>
    <w:p>
      <w:r>
        <w:rPr>
          <w:rFonts w:ascii="等线(中文正文)" w:hAnsi="等线(中文正文)" w:cs="等线(中文正文)" w:eastAsia="等线(中文正文)"/>
          <w:b w:val="false"/>
          <w:i w:val="false"/>
          <w:sz w:val="20"/>
        </w:rPr>
        <w:t/>
      </w:r>
    </w:p>
    <w:p>
      <w:pPr>
        <w:pStyle w:val="ab"/>
        <w:numPr>
          <w:numId w:val="4"/>
        </w:numPr>
      </w:pPr>
      <w:r>
        <w:t>13:07 公司业绩报告与资本管理更新</w:t>
      </w:r>
    </w:p>
    <w:p>
      <w:r>
        <w:rPr>
          <w:rFonts w:ascii="等线(中文正文)" w:hAnsi="等线(中文正文)" w:cs="等线(中文正文)" w:eastAsia="等线(中文正文)"/>
          <w:b w:val="false"/>
          <w:i w:val="false"/>
          <w:sz w:val="20"/>
        </w:rPr>
        <w:t>公司在本季度实现了创纪录的业绩，每股稀释收益为4.23美元，调整后每股收益为4.28美元，较去年增长11%，展现了各业务部门的强劲收入增长和3%的全行经营杠杆。资本管理方面，R,C,T,1比率保持稳健，资本生成强劲，主要得益于客户驱动的贷款增长，信用卡和住宅抵押贷款业务表现突出，市场相关风险敞口增加和资本市场活动也贡献了资本。此外，公司宣布出售Minera，预计将在2027年第一季度为R,C,T,1比率贡献约10个基点。全行利息收入增长5%，非利息收入增长6%，主要由财富管理和资本市场的高费用收入推动。尽管税收影响导致有效税率上升1个百分点至22.3%，但公司依然展现了强大的财务健康状况和增长潜力。</w:t>
      </w:r>
    </w:p>
    <w:p>
      <w:r>
        <w:rPr>
          <w:rFonts w:ascii="等线(中文正文)" w:hAnsi="等线(中文正文)" w:cs="等线(中文正文)" w:eastAsia="等线(中文正文)"/>
          <w:b w:val="false"/>
          <w:i w:val="false"/>
          <w:sz w:val="20"/>
        </w:rPr>
        <w:t/>
      </w:r>
    </w:p>
    <w:p>
      <w:pPr>
        <w:pStyle w:val="ab"/>
        <w:numPr>
          <w:numId w:val="5"/>
        </w:numPr>
      </w:pPr>
      <w:r>
        <w:t>16:46 加拿大银行业绩分析与展望</w:t>
      </w:r>
    </w:p>
    <w:p>
      <w:r>
        <w:rPr>
          <w:rFonts w:ascii="等线(中文正文)" w:hAnsi="等线(中文正文)" w:cs="等线(中文正文)" w:eastAsia="等线(中文正文)"/>
          <w:b w:val="false"/>
          <w:i w:val="false"/>
          <w:sz w:val="20"/>
        </w:rPr>
        <w:t>加拿大银行本季度业绩稳健，圣诞节银行业绩显著，收入虽略有下降，但营收创纪录增长。个人银行业绩受监管变化影响，服务费用减少，但基金分销费增长。商业银行业绩亮眼，贷款与存款比例改善，科技与营销投入增加。财富管理业务也取得不错成绩。整体运营效率保持强劲，尽管面临挑战，银行仍维持良好运营表现。</w:t>
      </w:r>
    </w:p>
    <w:p>
      <w:r>
        <w:rPr>
          <w:rFonts w:ascii="等线(中文正文)" w:hAnsi="等线(中文正文)" w:cs="等线(中文正文)" w:eastAsia="等线(中文正文)"/>
          <w:b w:val="false"/>
          <w:i w:val="false"/>
          <w:sz w:val="20"/>
        </w:rPr>
        <w:t/>
      </w:r>
    </w:p>
    <w:p>
      <w:pPr>
        <w:pStyle w:val="ab"/>
        <w:numPr>
          <w:numId w:val="6"/>
        </w:numPr>
      </w:pPr>
      <w:r>
        <w:t>19:29 公司业绩报告与未来展望</w:t>
      </w:r>
    </w:p>
    <w:p>
      <w:r>
        <w:rPr>
          <w:rFonts w:ascii="等线(中文正文)" w:hAnsi="等线(中文正文)" w:cs="等线(中文正文)" w:eastAsia="等线(中文正文)"/>
          <w:b w:val="false"/>
          <w:i w:val="false"/>
          <w:sz w:val="20"/>
        </w:rPr>
        <w:t>公司报告了过去一年的业绩增长，包括非利息收入、贷款和存款的增长，以及税前利润的提升。尽管保险收入因先前的有利再保险影响而下降，但整体表现强劲。展望未来，预计加拿大银行业务利润率保持稳定，非利息收入将增长，税前利润有望达到更高指导范围。管理层还提到，将通过有机增长和增加股息派发，以及执行股票回购计划，推动CET1比率向目标区间中位数迈进。</w:t>
      </w:r>
    </w:p>
    <w:p>
      <w:r>
        <w:rPr>
          <w:rFonts w:ascii="等线(中文正文)" w:hAnsi="等线(中文正文)" w:cs="等线(中文正文)" w:eastAsia="等线(中文正文)"/>
          <w:b w:val="false"/>
          <w:i w:val="false"/>
          <w:sz w:val="20"/>
        </w:rPr>
        <w:t/>
      </w:r>
    </w:p>
    <w:p>
      <w:pPr>
        <w:pStyle w:val="ab"/>
        <w:numPr>
          <w:numId w:val="7"/>
        </w:numPr>
      </w:pPr>
      <w:r>
        <w:t>23:31 加拿大经济韧性与信贷市场动态</w:t>
      </w:r>
    </w:p>
    <w:p>
      <w:r>
        <w:rPr>
          <w:rFonts w:ascii="等线(中文正文)" w:hAnsi="等线(中文正文)" w:cs="等线(中文正文)" w:eastAsia="等线(中文正文)"/>
          <w:b w:val="false"/>
          <w:i w:val="false"/>
          <w:sz w:val="20"/>
        </w:rPr>
        <w:t>对话围绕加拿大经济在当前全球环境下的表现展开，强调了其经济的韧性以及面临的贸易政策不确定性等挑战。讨论了信贷市场的动态，包括贷款减值、行业表现及对经济前景的谨慎乐观态度。加拿大经济显示出稳定迹象，得益于家庭支出、企业投资和政府支支持，尽管某些行业面临特定压力，但整体影响有限。</w:t>
      </w:r>
    </w:p>
    <w:p>
      <w:r>
        <w:rPr>
          <w:rFonts w:ascii="等线(中文正文)" w:hAnsi="等线(中文正文)" w:cs="等线(中文正文)" w:eastAsia="等线(中文正文)"/>
          <w:b w:val="false"/>
          <w:i w:val="false"/>
          <w:sz w:val="20"/>
        </w:rPr>
        <w:t/>
      </w:r>
    </w:p>
    <w:p>
      <w:pPr>
        <w:pStyle w:val="ab"/>
        <w:numPr>
          <w:numId w:val="8"/>
        </w:numPr>
      </w:pPr>
      <w:r>
        <w:t>28:07 AI投资周期与全球交易银行业务：皇家银行的机遇与策略</w:t>
      </w:r>
    </w:p>
    <w:p>
      <w:r>
        <w:rPr>
          <w:rFonts w:ascii="等线(中文正文)" w:hAnsi="等线(中文正文)" w:cs="等线(中文正文)" w:eastAsia="等线(中文正文)"/>
          <w:b w:val="false"/>
          <w:i w:val="false"/>
          <w:sz w:val="20"/>
        </w:rPr>
        <w:t>讨论了AI投资周期对皇家银行的机遇，包括在技术、数据中心、能源等领域的投资，以及如何通过贷款、现金管理、投资银行和财富管理等业务转化为收益。同时，介绍了皇家银行在全球交易银行业务上的策略，强调了技术整合、全球市场拓展和客户体验提升，以增强竞争力并抓住全球贸易和支付现代化的机遇。</w:t>
      </w:r>
    </w:p>
    <w:p>
      <w:r>
        <w:rPr>
          <w:rFonts w:ascii="等线(中文正文)" w:hAnsi="等线(中文正文)" w:cs="等线(中文正文)" w:eastAsia="等线(中文正文)"/>
          <w:b w:val="false"/>
          <w:i w:val="false"/>
          <w:sz w:val="20"/>
        </w:rPr>
        <w:t/>
      </w:r>
    </w:p>
    <w:p>
      <w:pPr>
        <w:pStyle w:val="ab"/>
        <w:numPr>
          <w:numId w:val="9"/>
        </w:numPr>
      </w:pPr>
      <w:r>
        <w:t>35:20 财富管理增长与资本市场策略讨论</w:t>
      </w:r>
    </w:p>
    <w:p>
      <w:r>
        <w:rPr>
          <w:rFonts w:ascii="等线(中文正文)" w:hAnsi="等线(中文正文)" w:cs="等线(中文正文)" w:eastAsia="等线(中文正文)"/>
          <w:b w:val="false"/>
          <w:i w:val="false"/>
          <w:sz w:val="20"/>
        </w:rPr>
        <w:t>对话围绕财富管理业务的增长、投资策略以及资本市场的资本密集度展开了深入讨论。发言者强调了加拿大业务的规模优势及其带来的成本效益，同时表示不会因增长而增加投资。关于资本市场的讨论指出，尽管资本密集度较高，但银行正通过优化资本分配和提升资本效率来推动业务增长。未来将通过KPI指标跟踪综合业务的进展，确保战略目标的实现。</w:t>
      </w:r>
    </w:p>
    <w:p>
      <w:r>
        <w:rPr>
          <w:rFonts w:ascii="等线(中文正文)" w:hAnsi="等线(中文正文)" w:cs="等线(中文正文)" w:eastAsia="等线(中文正文)"/>
          <w:b w:val="false"/>
          <w:i w:val="false"/>
          <w:sz w:val="20"/>
        </w:rPr>
        <w:t/>
      </w:r>
    </w:p>
    <w:p>
      <w:pPr>
        <w:pStyle w:val="ab"/>
        <w:numPr>
          <w:numId w:val="10"/>
        </w:numPr>
      </w:pPr>
      <w:r>
        <w:t>43:34 资本部署与有机增长策略</w:t>
      </w:r>
    </w:p>
    <w:p>
      <w:r>
        <w:rPr>
          <w:rFonts w:ascii="等线(中文正文)" w:hAnsi="等线(中文正文)" w:cs="等线(中文正文)" w:eastAsia="等线(中文正文)"/>
          <w:b w:val="false"/>
          <w:i w:val="false"/>
          <w:sz w:val="20"/>
        </w:rPr>
        <w:t>讨论了资本优先投入有机增长，特别是在AI驱动的超周期中，通过信贷活动和股票回购创造股东价值。同时，强调了通过内部能力而非外部收购实现规模扩张的重要性，以及在地缘政治不稳定背景下保持资本灵活性以创造中期股东价值的策略。</w:t>
      </w:r>
    </w:p>
    <w:p>
      <w:r>
        <w:rPr>
          <w:rFonts w:ascii="等线(中文正文)" w:hAnsi="等线(中文正文)" w:cs="等线(中文正文)" w:eastAsia="等线(中文正文)"/>
          <w:b w:val="false"/>
          <w:i w:val="false"/>
          <w:sz w:val="20"/>
        </w:rPr>
        <w:t/>
      </w:r>
    </w:p>
    <w:p>
      <w:pPr>
        <w:pStyle w:val="ab"/>
        <w:numPr>
          <w:numId w:val="11"/>
        </w:numPr>
      </w:pPr>
      <w:r>
        <w:t>46:25 分析银行利润增长与净息差表现</w:t>
      </w:r>
    </w:p>
    <w:p>
      <w:r>
        <w:rPr>
          <w:rFonts w:ascii="等线(中文正文)" w:hAnsi="等线(中文正文)" w:cs="等线(中文正文)" w:eastAsia="等线(中文正文)"/>
          <w:b w:val="false"/>
          <w:i w:val="false"/>
          <w:sz w:val="20"/>
        </w:rPr>
        <w:t>讨论了某银行的税前利润增长情况，指出尽管费收入强劲，但净息差表现不及预期，尤其是在与同行业对比时。分析认为，银行的存款和融资优势理论上应推动更好的净息差表现，但实际中因资本市场因素影响了利润增长。提及银行正通过优化资产结构和管理利率风险来应对挑战，预计未来可改善净息差表现。</w:t>
      </w:r>
    </w:p>
    <w:p>
      <w:r>
        <w:rPr>
          <w:rFonts w:ascii="等线(中文正文)" w:hAnsi="等线(中文正文)" w:cs="等线(中文正文)" w:eastAsia="等线(中文正文)"/>
          <w:b w:val="false"/>
          <w:i w:val="false"/>
          <w:sz w:val="20"/>
        </w:rPr>
        <w:t/>
      </w:r>
    </w:p>
    <w:p>
      <w:pPr>
        <w:pStyle w:val="ab"/>
        <w:numPr>
          <w:numId w:val="12"/>
        </w:numPr>
      </w:pPr>
      <w:r>
        <w:t>49:00 银行业务增长与资本比率讨论</w:t>
      </w:r>
    </w:p>
    <w:p>
      <w:r>
        <w:rPr>
          <w:rFonts w:ascii="等线(中文正文)" w:hAnsi="等线(中文正文)" w:cs="等线(中文正文)" w:eastAsia="等线(中文正文)"/>
          <w:b w:val="false"/>
          <w:i w:val="false"/>
          <w:sz w:val="20"/>
        </w:rPr>
        <w:t>对话围绕银行业务增长动态及未来资本比率规划展开，提及当前强劲的贷款增长势头，尤其在农业、健康医疗、公共领域及房地产等未受地缘政治影响的行业。同时，讨论了资本比率调整的长期可能性，展望未来两年至三年内，可能恢复至历史动态，保持在DSB高点以上50至100个基点的缓冲区，目标是通过有机增长或股票回购等方式，将资本充足率维持在12%左右。</w:t>
      </w:r>
    </w:p>
    <w:p>
      <w:r>
        <w:rPr>
          <w:rFonts w:ascii="等线(中文正文)" w:hAnsi="等线(中文正文)" w:cs="等线(中文正文)" w:eastAsia="等线(中文正文)"/>
          <w:b w:val="false"/>
          <w:i w:val="false"/>
          <w:sz w:val="20"/>
        </w:rPr>
        <w:t/>
      </w:r>
    </w:p>
    <w:p>
      <w:pPr>
        <w:pStyle w:val="ab"/>
        <w:numPr>
          <w:numId w:val="13"/>
        </w:numPr>
      </w:pPr>
      <w:r>
        <w:t>54:49 C、N、B增长策略：有机与无机并重</w:t>
      </w:r>
    </w:p>
    <w:p>
      <w:r>
        <w:rPr>
          <w:rFonts w:ascii="等线(中文正文)" w:hAnsi="等线(中文正文)" w:cs="等线(中文正文)" w:eastAsia="等线(中文正文)"/>
          <w:b w:val="false"/>
          <w:i w:val="false"/>
          <w:sz w:val="20"/>
        </w:rPr>
        <w:t>讨论了C、N、B在接下来的增长阶段将采取的策略，强调了有机增长的重要性，包括市场扩张、产品线延伸和团队建设。同时，也提到了通过整合现有资源和可能的无机增长（如并购）来增强能力。美国市场被视为关键增长点，尤其是在降低成本和提升效率方面取得了进展。整体上，公司致力于通过强大的客户基础、优质产品和服务，以及高效的系统和团队，实现可持续的长期增长。</w:t>
      </w:r>
    </w:p>
    <w:p>
      <w:r>
        <w:rPr>
          <w:rFonts w:ascii="等线(中文正文)" w:hAnsi="等线(中文正文)" w:cs="等线(中文正文)" w:eastAsia="等线(中文正文)"/>
          <w:b w:val="false"/>
          <w:i w:val="false"/>
          <w:sz w:val="20"/>
        </w:rPr>
        <w:t/>
      </w:r>
    </w:p>
    <w:p>
      <w:pPr>
        <w:pStyle w:val="a7"/>
      </w:pPr>
      <w:r>
        <w:t>发言总结</w:t>
      </w:r>
    </w:p>
    <w:p>
      <w:pPr>
        <w:pStyle w:val="ab"/>
        <w:numPr>
          <w:numId w:val="14"/>
        </w:numPr>
      </w:pPr>
      <w:r>
        <w:t>发言人1</w:t>
      </w:r>
    </w:p>
    <w:p>
      <w:r>
        <w:rPr>
          <w:rFonts w:ascii="等线(中文正文)" w:hAnsi="等线(中文正文)" w:cs="等线(中文正文)" w:eastAsia="等线(中文正文)"/>
          <w:b w:val="false"/>
          <w:i w:val="false"/>
          <w:sz w:val="20"/>
        </w:rPr>
        <w:t>首先讨论了加拿大皇家银行（R、B、C）2026年第三季度的财务表现，包括贷款增长、资本市场状况及联邦政策变化对宏观经济的预测影响。面对商业房地产贷款增加和不良贷款上升的挑战，管理团队正通过特定策略优化贷款组合和管理风险。强调了AI技术在提升服务和竞争力，特别是在交易银行业务方面的应用，以及对有机增长和战略性收购的承诺，同时保持资本充足以支持未来发展。
接着，他展望了公司未来的发展策略与预期，包括持续的势头建立，特别是在管道建设方面的强劲表现。强调了对地区和行业多样性的希望，特别是气候变化影响较小的领域如农业、医疗保健、公共部门以及绿色技术，特别是在安大略省的房地产行业。
在客户保留方面，他提到中小企业客户保留率超出预期，表示在吸引新客户和深化关系建立方面取得成功。讨论了资本比率的调整，虽然短期内因地缘政治环境保持谨慎，但长期可能返回更高资本缓冲区。表达了对未来在CNB和美国市场扩张的乐观态度，强调有机增长和并购为扩张策略的一部分。
整体而言，他展示了积极的展望，强调通过增强资本基础、优化投资组合、巩固客户关系和积极扩张策略来实现可持续增长的承诺。会议还涉及了前瞻声明的提醒，基于假设且伴随风险和不确定性。他回顾了银行第三季度的强劲业绩，包括收益和收入增长，以及成本效率的优化，通过业务模式多元化、客户需求强劲和市场条件有利实现。</w:t>
      </w:r>
    </w:p>
    <w:p>
      <w:r>
        <w:rPr>
          <w:rFonts w:ascii="等线(中文正文)" w:hAnsi="等线(中文正文)" w:cs="等线(中文正文)" w:eastAsia="等线(中文正文)"/>
          <w:b w:val="false"/>
          <w:i w:val="false"/>
          <w:sz w:val="20"/>
        </w:rPr>
        <w:t/>
      </w:r>
    </w:p>
    <w:p>
      <w:pPr>
        <w:pStyle w:val="a7"/>
      </w:pPr>
      <w:r>
        <w:t>要点回顾</w:t>
      </w:r>
    </w:p>
    <w:p>
      <w:pPr>
        <w:pStyle w:val="ab"/>
      </w:pPr>
      <w:r>
        <w:t>What were the key financial results reported for the RBC third quarter?</w:t>
      </w:r>
    </w:p>
    <w:p>
      <w:r>
        <w:rPr>
          <w:rFonts w:ascii="等线(中文正文)" w:hAnsi="等线(中文正文)" w:cs="等线(中文正文)" w:eastAsia="等线(中文正文)"/>
          <w:b w:val="false"/>
          <w:i w:val="false"/>
          <w:sz w:val="20"/>
        </w:rPr>
        <w:t>发言人1：The key financial results reported for the RBC third quarter include record earnings of $11 billion, an increase of 11% year over year, and revenues growing by 9% year over year.</w:t>
      </w:r>
    </w:p>
    <w:p>
      <w:r>
        <w:rPr>
          <w:rFonts w:ascii="等线(中文正文)" w:hAnsi="等线(中文正文)" w:cs="等线(中文正文)" w:eastAsia="等线(中文正文)"/>
          <w:b w:val="false"/>
          <w:i w:val="false"/>
          <w:sz w:val="20"/>
        </w:rPr>
        <w:t/>
      </w:r>
    </w:p>
    <w:p>
      <w:pPr>
        <w:pStyle w:val="ab"/>
      </w:pPr>
      <w:r>
        <w:t>What strategies and factors contributed to RBC's financial performance?</w:t>
      </w:r>
    </w:p>
    <w:p>
      <w:r>
        <w:rPr>
          <w:rFonts w:ascii="等线(中文正文)" w:hAnsi="等线(中文正文)" w:cs="等线(中文正文)" w:eastAsia="等线(中文正文)"/>
          <w:b w:val="false"/>
          <w:i w:val="false"/>
          <w:sz w:val="20"/>
        </w:rPr>
        <w:t>发言人1：RBC's financial performance was driven by diverse business models, strong client activity, a favorable market backdrop, and a disciplined execution of strategies, investments in talent and technology, and the deployment of its Valley.</w:t>
      </w:r>
    </w:p>
    <w:p>
      <w:r>
        <w:rPr>
          <w:rFonts w:ascii="等线(中文正文)" w:hAnsi="等线(中文正文)" w:cs="等线(中文正文)" w:eastAsia="等线(中文正文)"/>
          <w:b w:val="false"/>
          <w:i w:val="false"/>
          <w:sz w:val="20"/>
        </w:rPr>
        <w:t/>
      </w:r>
    </w:p>
    <w:p>
      <w:pPr>
        <w:pStyle w:val="ab"/>
      </w:pPr>
      <w:r>
        <w:t>What did RBC's performance in the third quarter indicate about the company's long-term prospects?</w:t>
      </w:r>
    </w:p>
    <w:p>
      <w:r>
        <w:rPr>
          <w:rFonts w:ascii="等线(中文正文)" w:hAnsi="等线(中文正文)" w:cs="等线(中文正文)" w:eastAsia="等线(中文正文)"/>
          <w:b w:val="false"/>
          <w:i w:val="false"/>
          <w:sz w:val="20"/>
        </w:rPr>
        <w:t>发言人1：RBC's performance in the third quarter indicated sustainable long-term shareholder value through a premium return on equity of nearly 18%, broad-based growth flow, and a robust 13.5% common equity to one ratio, suggesting the generation of sustainable long-term value for shareholders.</w:t>
      </w:r>
    </w:p>
    <w:p>
      <w:r>
        <w:rPr>
          <w:rFonts w:ascii="等线(中文正文)" w:hAnsi="等线(中文正文)" w:cs="等线(中文正文)" w:eastAsia="等线(中文正文)"/>
          <w:b w:val="false"/>
          <w:i w:val="false"/>
          <w:sz w:val="20"/>
        </w:rPr>
        <w:t/>
      </w:r>
    </w:p>
    <w:p>
      <w:pPr>
        <w:pStyle w:val="ab"/>
      </w:pPr>
      <w:r>
        <w:t>How is RBC focusing its growth strategies?</w:t>
      </w:r>
    </w:p>
    <w:p>
      <w:r>
        <w:rPr>
          <w:rFonts w:ascii="等线(中文正文)" w:hAnsi="等线(中文正文)" w:cs="等线(中文正文)" w:eastAsia="等线(中文正文)"/>
          <w:b w:val="false"/>
          <w:i w:val="false"/>
          <w:sz w:val="20"/>
        </w:rPr>
        <w:t>发言人1：RBC's growth strategies include investing in an integrated platform to enhance client trust and market leadership, focusing on organic growth, and laying the foundation for new growth verticals to diversify the business and create future value.</w:t>
      </w:r>
    </w:p>
    <w:p>
      <w:r>
        <w:rPr>
          <w:rFonts w:ascii="等线(中文正文)" w:hAnsi="等线(中文正文)" w:cs="等线(中文正文)" w:eastAsia="等线(中文正文)"/>
          <w:b w:val="false"/>
          <w:i w:val="false"/>
          <w:sz w:val="20"/>
        </w:rPr>
        <w:t/>
      </w:r>
    </w:p>
    <w:p>
      <w:pPr>
        <w:pStyle w:val="ab"/>
      </w:pPr>
      <w:r>
        <w:t>What is the current status of the Canadian economy and labor market, and what are the potential impacts of new policies?</w:t>
      </w:r>
    </w:p>
    <w:p>
      <w:r>
        <w:rPr>
          <w:rFonts w:ascii="等线(中文正文)" w:hAnsi="等线(中文正文)" w:cs="等线(中文正文)" w:eastAsia="等线(中文正文)"/>
          <w:b w:val="false"/>
          <w:i w:val="false"/>
          <w:sz w:val="20"/>
        </w:rPr>
        <w:t>发言人1：The Canadian economy and labor market have performed well, having absorbed multiple shocks over the past 18 months. The implementation of the recently announced Section 33 termination could increase GDP by 0.4 percentage points, with a larger impact on certain sectors and provinces.</w:t>
      </w:r>
    </w:p>
    <w:p>
      <w:r>
        <w:rPr>
          <w:rFonts w:ascii="等线(中文正文)" w:hAnsi="等线(中文正文)" w:cs="等线(中文正文)" w:eastAsia="等线(中文正文)"/>
          <w:b w:val="false"/>
          <w:i w:val="false"/>
          <w:sz w:val="20"/>
        </w:rPr>
        <w:t/>
      </w:r>
    </w:p>
    <w:p>
      <w:pPr>
        <w:pStyle w:val="ab"/>
      </w:pPr>
      <w:r>
        <w:t>What segments are driving RBC's strong performance?</w:t>
      </w:r>
    </w:p>
    <w:p>
      <w:r>
        <w:rPr>
          <w:rFonts w:ascii="等线(中文正文)" w:hAnsi="等线(中文正文)" w:cs="等线(中文正文)" w:eastAsia="等线(中文正文)"/>
          <w:b w:val="false"/>
          <w:i w:val="false"/>
          <w:sz w:val="20"/>
        </w:rPr>
        <w:t>发言人1：RBC's strong performance is driven by Personal Banking with record revenue and a leading franchise, Commercial Banking with market share growth, RBC Capital Markets as the top investment bank, and Wealth Management with increased assets under management and advisor hiring pipeline.</w:t>
      </w:r>
    </w:p>
    <w:p>
      <w:r>
        <w:rPr>
          <w:rFonts w:ascii="等线(中文正文)" w:hAnsi="等线(中文正文)" w:cs="等线(中文正文)" w:eastAsia="等线(中文正文)"/>
          <w:b w:val="false"/>
          <w:i w:val="false"/>
          <w:sz w:val="20"/>
        </w:rPr>
        <w:t/>
      </w:r>
    </w:p>
    <w:p>
      <w:pPr>
        <w:pStyle w:val="ab"/>
      </w:pPr>
      <w:r>
        <w:t>How is RBC positioned to handle near-term uncertainty?</w:t>
      </w:r>
    </w:p>
    <w:p>
      <w:r>
        <w:rPr>
          <w:rFonts w:ascii="等线(中文正文)" w:hAnsi="等线(中文正文)" w:cs="等线(中文正文)" w:eastAsia="等线(中文正文)"/>
          <w:b w:val="false"/>
          <w:i w:val="false"/>
          <w:sz w:val="20"/>
        </w:rPr>
        <w:t>发言人1：RBC is well-positioned to navigate near-term uncertainty due to its strong balance sheet and diversified business model, which supports clients' growth aspirations while taking advantage of various market opportunities.</w:t>
      </w:r>
    </w:p>
    <w:p>
      <w:r>
        <w:rPr>
          <w:rFonts w:ascii="等线(中文正文)" w:hAnsi="等线(中文正文)" w:cs="等线(中文正文)" w:eastAsia="等线(中文正文)"/>
          <w:b w:val="false"/>
          <w:i w:val="false"/>
          <w:sz w:val="20"/>
        </w:rPr>
        <w:t/>
      </w:r>
    </w:p>
    <w:p>
      <w:pPr>
        <w:pStyle w:val="ab"/>
      </w:pPr>
      <w:r>
        <w:t>What are the financial results for the current quarter?</w:t>
      </w:r>
    </w:p>
    <w:p>
      <w:r>
        <w:rPr>
          <w:rFonts w:ascii="等线(中文正文)" w:hAnsi="等线(中文正文)" w:cs="等线(中文正文)" w:eastAsia="等线(中文正文)"/>
          <w:b w:val="false"/>
          <w:i w:val="false"/>
          <w:sz w:val="20"/>
        </w:rPr>
        <w:t>发言人1：The diluted earnings per share for the current quarter were $4.28, up from $4.00 in the previous year, with record revenue across most segments and operating leverage of 3%.</w:t>
      </w:r>
    </w:p>
    <w:p>
      <w:r>
        <w:rPr>
          <w:rFonts w:ascii="等线(中文正文)" w:hAnsi="等线(中文正文)" w:cs="等线(中文正文)" w:eastAsia="等线(中文正文)"/>
          <w:b w:val="false"/>
          <w:i w:val="false"/>
          <w:sz w:val="20"/>
        </w:rPr>
        <w:t/>
      </w:r>
    </w:p>
    <w:p>
      <w:pPr>
        <w:pStyle w:val="ab"/>
      </w:pPr>
      <w:r>
        <w:t>How does the current quarter's capital position compare to the previous year?</w:t>
      </w:r>
    </w:p>
    <w:p>
      <w:r>
        <w:rPr>
          <w:rFonts w:ascii="等线(中文正文)" w:hAnsi="等线(中文正文)" w:cs="等线(中文正文)" w:eastAsia="等线(中文正文)"/>
          <w:b w:val="false"/>
          <w:i w:val="false"/>
          <w:sz w:val="20"/>
        </w:rPr>
        <w:t>发言人1：The RCT one ratio remains at 13.5%, and the bank generated RVC of 17.9%, resulting in strong capital generation of 80 basis points after dividends. This was primarily due to client-driven growth, including incorporate lending, credit cards, and residential mortgage.</w:t>
      </w:r>
    </w:p>
    <w:p>
      <w:r>
        <w:rPr>
          <w:rFonts w:ascii="等线(中文正文)" w:hAnsi="等线(中文正文)" w:cs="等线(中文正文)" w:eastAsia="等线(中文正文)"/>
          <w:b w:val="false"/>
          <w:i w:val="false"/>
          <w:sz w:val="20"/>
        </w:rPr>
        <w:t/>
      </w:r>
    </w:p>
    <w:p>
      <w:pPr>
        <w:pStyle w:val="ab"/>
      </w:pPr>
      <w:r>
        <w:t>What is the expected contribution from the sale of a mineral?</w:t>
      </w:r>
    </w:p>
    <w:p>
      <w:r>
        <w:rPr>
          <w:rFonts w:ascii="等线(中文正文)" w:hAnsi="等线(中文正文)" w:cs="等线(中文正文)" w:eastAsia="等线(中文正文)"/>
          <w:b w:val="false"/>
          <w:i w:val="false"/>
          <w:sz w:val="20"/>
        </w:rPr>
        <w:t>发言人1：The previously announced sale of a mineral is expected to contribute approximately 10 basis points to Tier 1 in the first quarter of 2027.</w:t>
      </w:r>
    </w:p>
    <w:p>
      <w:r>
        <w:rPr>
          <w:rFonts w:ascii="等线(中文正文)" w:hAnsi="等线(中文正文)" w:cs="等线(中文正文)" w:eastAsia="等线(中文正文)"/>
          <w:b w:val="false"/>
          <w:i w:val="false"/>
          <w:sz w:val="20"/>
        </w:rPr>
        <w:t/>
      </w:r>
    </w:p>
    <w:p>
      <w:pPr>
        <w:pStyle w:val="ab"/>
      </w:pPr>
      <w:r>
        <w:t>How did all bank interest income perform and what factors contributed to its change?</w:t>
      </w:r>
    </w:p>
    <w:p>
      <w:r>
        <w:rPr>
          <w:rFonts w:ascii="等线(中文正文)" w:hAnsi="等线(中文正文)" w:cs="等线(中文正文)" w:eastAsia="等线(中文正文)"/>
          <w:b w:val="false"/>
          <w:i w:val="false"/>
          <w:sz w:val="20"/>
        </w:rPr>
        <w:t>发言人1：All bank interest income was up 11% reflecting solid volume growth across the bank's statement, including personal banking, commercial banking, and wealth management. Factors contributing to its change include a sequential decline in all bank name due to capital market factors and lower long books read.</w:t>
      </w:r>
    </w:p>
    <w:p>
      <w:r>
        <w:rPr>
          <w:rFonts w:ascii="等线(中文正文)" w:hAnsi="等线(中文正文)" w:cs="等线(中文正文)" w:eastAsia="等线(中文正文)"/>
          <w:b w:val="false"/>
          <w:i w:val="false"/>
          <w:sz w:val="20"/>
        </w:rPr>
        <w:t/>
      </w:r>
    </w:p>
    <w:p>
      <w:pPr>
        <w:pStyle w:val="ab"/>
      </w:pPr>
      <w:r>
        <w:t>What were the main factors contributing to the increase in non-interest income?</w:t>
      </w:r>
    </w:p>
    <w:p>
      <w:r>
        <w:rPr>
          <w:rFonts w:ascii="等线(中文正文)" w:hAnsi="等线(中文正文)" w:cs="等线(中文正文)" w:eastAsia="等线(中文正文)"/>
          <w:b w:val="false"/>
          <w:i w:val="false"/>
          <w:sz w:val="20"/>
        </w:rPr>
        <w:t>发言人1：Higher variable compensation, consistent with higher revenues, and higher salaries were the main drivers of the growth in non-interest income, reflecting the bank's investment in talent in various departments.</w:t>
      </w:r>
    </w:p>
    <w:p>
      <w:r>
        <w:rPr>
          <w:rFonts w:ascii="等线(中文正文)" w:hAnsi="等线(中文正文)" w:cs="等线(中文正文)" w:eastAsia="等线(中文正文)"/>
          <w:b w:val="false"/>
          <w:i w:val="false"/>
          <w:sz w:val="20"/>
        </w:rPr>
        <w:t/>
      </w:r>
    </w:p>
    <w:p>
      <w:pPr>
        <w:pStyle w:val="ab"/>
      </w:pPr>
      <w:r>
        <w:t>How did the tax adjustment and effective tax rate change, and what caused these changes?</w:t>
      </w:r>
    </w:p>
    <w:p>
      <w:r>
        <w:rPr>
          <w:rFonts w:ascii="等线(中文正文)" w:hAnsi="等线(中文正文)" w:cs="等线(中文正文)" w:eastAsia="等线(中文正文)"/>
          <w:b w:val="false"/>
          <w:i w:val="false"/>
          <w:sz w:val="20"/>
        </w:rPr>
        <w:t>发言人1：The adjusted effective tax rate increased by one percentage point to 22.3%, reflecting changes in earnings. The increase in the tax adjustment is not specifically detailed in the provided text.</w:t>
      </w:r>
    </w:p>
    <w:p>
      <w:r>
        <w:rPr>
          <w:rFonts w:ascii="等线(中文正文)" w:hAnsi="等线(中文正文)" w:cs="等线(中文正文)" w:eastAsia="等线(中文正文)"/>
          <w:b w:val="false"/>
          <w:i w:val="false"/>
          <w:sz w:val="20"/>
        </w:rPr>
        <w:t/>
      </w:r>
    </w:p>
    <w:p>
      <w:pPr>
        <w:pStyle w:val="ab"/>
      </w:pPr>
      <w:r>
        <w:t>What were the earnings and revenue figures for the different banking segments?</w:t>
      </w:r>
    </w:p>
    <w:p>
      <w:r>
        <w:rPr>
          <w:rFonts w:ascii="等线(中文正文)" w:hAnsi="等线(中文正文)" w:cs="等线(中文正文)" w:eastAsia="等线(中文正文)"/>
          <w:b w:val="false"/>
          <w:i w:val="false"/>
          <w:sz w:val="20"/>
        </w:rPr>
        <w:t>发言人1：Christmas banking generated $1.9 billion of earnings with a revenue increase of 4% from last year. Personal banking Canada's income was down 1% with revenue growth of 4%. Commercial banking net income was $936 million, up 12%, with record pre-tax earnings of $1.5 billion.</w:t>
      </w:r>
    </w:p>
    <w:p>
      <w:r>
        <w:rPr>
          <w:rFonts w:ascii="等线(中文正文)" w:hAnsi="等线(中文正文)" w:cs="等线(中文正文)" w:eastAsia="等线(中文正文)"/>
          <w:b w:val="false"/>
          <w:i w:val="false"/>
          <w:sz w:val="20"/>
        </w:rPr>
        <w:t/>
      </w:r>
    </w:p>
    <w:p>
      <w:pPr>
        <w:pStyle w:val="ab"/>
      </w:pPr>
      <w:r>
        <w:t>How is the efficiency ratio and operating leverage performing in the combined Canadian banking segments?</w:t>
      </w:r>
    </w:p>
    <w:p>
      <w:r>
        <w:rPr>
          <w:rFonts w:ascii="等线(中文正文)" w:hAnsi="等线(中文正文)" w:cs="等线(中文正文)" w:eastAsia="等线(中文正文)"/>
          <w:b w:val="false"/>
          <w:i w:val="false"/>
          <w:sz w:val="20"/>
        </w:rPr>
        <w:t>发言人1：The combined Canadian banking segments generated a leading efficiency ratio of 37%, with negative operating leverage of 3%. This was largely due to lower HBC Canada-related PPAs, the impact of regulatory changes, and the timing of investments in personal banking.</w:t>
      </w:r>
    </w:p>
    <w:p>
      <w:r>
        <w:rPr>
          <w:rFonts w:ascii="等线(中文正文)" w:hAnsi="等线(中文正文)" w:cs="等线(中文正文)" w:eastAsia="等线(中文正文)"/>
          <w:b w:val="false"/>
          <w:i w:val="false"/>
          <w:sz w:val="20"/>
        </w:rPr>
        <w:t/>
      </w:r>
    </w:p>
    <w:p>
      <w:pPr>
        <w:pStyle w:val="ab"/>
      </w:pPr>
      <w:r>
        <w:t>What is the current state of the capital markets segment and its revenue growth?</w:t>
      </w:r>
    </w:p>
    <w:p>
      <w:r>
        <w:rPr>
          <w:rFonts w:ascii="等线(中文正文)" w:hAnsi="等线(中文正文)" w:cs="等线(中文正文)" w:eastAsia="等线(中文正文)"/>
          <w:b w:val="false"/>
          <w:i w:val="false"/>
          <w:sz w:val="20"/>
        </w:rPr>
        <w:t>发言人1：The capital markets segment had record revenue of $1.5 billion, up 15% from last year, reflecting strong momentum in equity trading and strength in non-trading and financing portfolios. Corporate and investment banking revenue was a record at 16% from last year.</w:t>
      </w:r>
    </w:p>
    <w:p>
      <w:r>
        <w:rPr>
          <w:rFonts w:ascii="等线(中文正文)" w:hAnsi="等线(中文正文)" w:cs="等线(中文正文)" w:eastAsia="等线(中文正文)"/>
          <w:b w:val="false"/>
          <w:i w:val="false"/>
          <w:sz w:val="20"/>
        </w:rPr>
        <w:t/>
      </w:r>
    </w:p>
    <w:p>
      <w:pPr>
        <w:pStyle w:val="ab"/>
      </w:pPr>
      <w:r>
        <w:t>How is the allowance for credit losses and provision for loans affected by current economic conditions?</w:t>
      </w:r>
    </w:p>
    <w:p>
      <w:r>
        <w:rPr>
          <w:rFonts w:ascii="等线(中文正文)" w:hAnsi="等线(中文正文)" w:cs="等线(中文正文)" w:eastAsia="等线(中文正文)"/>
          <w:b w:val="false"/>
          <w:i w:val="false"/>
          <w:sz w:val="20"/>
        </w:rPr>
        <w:t>发言人1：In the current economic environment, with ongoing trade tensions and geographical conflicts, provisions on loans have increased, driven by portfolio growth in personal banking and commercial banking. These provisions are part of the bank's credit underwriting and provisioning processes and reflect elevated reserves for downside scenarios, including trade disruption.</w:t>
      </w:r>
    </w:p>
    <w:p>
      <w:r>
        <w:rPr>
          <w:rFonts w:ascii="等线(中文正文)" w:hAnsi="等线(中文正文)" w:cs="等线(中文正文)" w:eastAsia="等线(中文正文)"/>
          <w:b w:val="false"/>
          <w:i w:val="false"/>
          <w:sz w:val="20"/>
        </w:rPr>
        <w:t/>
      </w:r>
    </w:p>
    <w:p>
      <w:pPr>
        <w:pStyle w:val="ab"/>
      </w:pPr>
      <w:r>
        <w:t>What are the recent trends in credit across the portfolio?</w:t>
      </w:r>
    </w:p>
    <w:p>
      <w:r>
        <w:rPr>
          <w:rFonts w:ascii="等线(中文正文)" w:hAnsi="等线(中文正文)" w:cs="等线(中文正文)" w:eastAsia="等线(中文正文)"/>
          <w:b w:val="false"/>
          <w:i w:val="false"/>
          <w:sz w:val="20"/>
        </w:rPr>
        <w:t>发言人1：Modest improvements in credit across the portfolio have been observed, with a decrease in impaired loans and stabilization in retail credit indicators. However, the commercial portfolio continues to show elevated levels of PCL (Provision for Credit Losses) and impaired loans compared to historical levels.</w:t>
      </w:r>
    </w:p>
    <w:p>
      <w:r>
        <w:rPr>
          <w:rFonts w:ascii="等线(中文正文)" w:hAnsi="等线(中文正文)" w:cs="等线(中文正文)" w:eastAsia="等线(中文正文)"/>
          <w:b w:val="false"/>
          <w:i w:val="false"/>
          <w:sz w:val="20"/>
        </w:rPr>
        <w:t/>
      </w:r>
    </w:p>
    <w:p>
      <w:pPr>
        <w:pStyle w:val="ab"/>
      </w:pPr>
      <w:r>
        <w:t>What was the impact of recent political changes on provisions?</w:t>
      </w:r>
    </w:p>
    <w:p>
      <w:r>
        <w:rPr>
          <w:rFonts w:ascii="等线(中文正文)" w:hAnsi="等线(中文正文)" w:cs="等线(中文正文)" w:eastAsia="等线(中文正文)"/>
          <w:b w:val="false"/>
          <w:i w:val="false"/>
          <w:sz w:val="20"/>
        </w:rPr>
        <w:t>发言人1：Recent changes in the political environment have significantly increased and caused surging around the path of revolution, leading to provisions of $148 million in the latest quarter, which impacted the utility space that was already impaired in the first quarter of 2025.</w:t>
      </w:r>
    </w:p>
    <w:p>
      <w:r>
        <w:rPr>
          <w:rFonts w:ascii="等线(中文正文)" w:hAnsi="等线(中文正文)" w:cs="等线(中文正文)" w:eastAsia="等线(中文正文)"/>
          <w:b w:val="false"/>
          <w:i w:val="false"/>
          <w:sz w:val="20"/>
        </w:rPr>
        <w:t/>
      </w:r>
    </w:p>
    <w:p>
      <w:pPr>
        <w:pStyle w:val="ab"/>
      </w:pPr>
      <w:r>
        <w:t>How is Royal Bank of Canada positioned to take advantage of the AI cycle?</w:t>
      </w:r>
    </w:p>
    <w:p>
      <w:r>
        <w:rPr>
          <w:rFonts w:ascii="等线(中文正文)" w:hAnsi="等线(中文正文)" w:cs="等线(中文正文)" w:eastAsia="等线(中文正文)"/>
          <w:b w:val="false"/>
          <w:i w:val="false"/>
          <w:sz w:val="20"/>
        </w:rPr>
        <w:t>发言人1：Royal Bank of Canada is positioned to take advantage of the AI cycle by having strengths in sectors such as technology, data centers, power, energy, and critical minerals, which are all areas of investment and expertise for the bank. The AI buildout is seen as a unique growth opportunity, with significant financing requirements aligned with the bank's size and scale.</w:t>
      </w:r>
    </w:p>
    <w:p>
      <w:r>
        <w:rPr>
          <w:rFonts w:ascii="等线(中文正文)" w:hAnsi="等线(中文正文)" w:cs="等线(中文正文)" w:eastAsia="等线(中文正文)"/>
          <w:b w:val="false"/>
          <w:i w:val="false"/>
          <w:sz w:val="20"/>
        </w:rPr>
        <w:t/>
      </w:r>
    </w:p>
    <w:p>
      <w:pPr>
        <w:pStyle w:val="ab"/>
      </w:pPr>
      <w:r>
        <w:t>How is the global transaction banking business contributing to Royal's growth?</w:t>
      </w:r>
    </w:p>
    <w:p>
      <w:r>
        <w:rPr>
          <w:rFonts w:ascii="等线(中文正文)" w:hAnsi="等线(中文正文)" w:cs="等线(中文正文)" w:eastAsia="等线(中文正文)"/>
          <w:b w:val="false"/>
          <w:i w:val="false"/>
          <w:sz w:val="20"/>
        </w:rPr>
        <w:t>发言人1：The global transaction banking business is contributing to Royal's growth by providing a platform for financing and support through lending, which has shown strong loan growth, and by integrating cash management and investment banking activities to support clients. This business also benefits trading and wealth management, aligning with Royal's goals of global competitiveness and efficient service delivery.</w:t>
      </w:r>
    </w:p>
    <w:p>
      <w:r>
        <w:rPr>
          <w:rFonts w:ascii="等线(中文正文)" w:hAnsi="等线(中文正文)" w:cs="等线(中文正文)" w:eastAsia="等线(中文正文)"/>
          <w:b w:val="false"/>
          <w:i w:val="false"/>
          <w:sz w:val="20"/>
        </w:rPr>
        <w:t/>
      </w:r>
    </w:p>
    <w:p>
      <w:pPr>
        <w:pStyle w:val="ab"/>
      </w:pPr>
      <w:r>
        <w:t>What are Royal's future plans for the transaction banking business?</w:t>
      </w:r>
    </w:p>
    <w:p>
      <w:r>
        <w:rPr>
          <w:rFonts w:ascii="等线(中文正文)" w:hAnsi="等线(中文正文)" w:cs="等线(中文正文)" w:eastAsia="等线(中文正文)"/>
          <w:b w:val="false"/>
          <w:i w:val="false"/>
          <w:sz w:val="20"/>
        </w:rPr>
        <w:t>发言人1：Royal's future plans for the transaction banking business involve competing globally, integrating technology platforms, and focusing on a common market strategy. This strategy aims to serve a more globally connected bank and client base and to modernize payments, reflecting the world's trend towards more global trade relationships and cross-border flows.</w:t>
      </w:r>
    </w:p>
    <w:p>
      <w:r>
        <w:rPr>
          <w:rFonts w:ascii="等线(中文正文)" w:hAnsi="等线(中文正文)" w:cs="等线(中文正文)" w:eastAsia="等线(中文正文)"/>
          <w:b w:val="false"/>
          <w:i w:val="false"/>
          <w:sz w:val="20"/>
        </w:rPr>
        <w:t/>
      </w:r>
    </w:p>
    <w:p>
      <w:pPr>
        <w:pStyle w:val="ab"/>
      </w:pPr>
      <w:r>
        <w:t>What is the outlook for wealth management's pre-tax margins?</w:t>
      </w:r>
    </w:p>
    <w:p>
      <w:r>
        <w:rPr>
          <w:rFonts w:ascii="等线(中文正文)" w:hAnsi="等线(中文正文)" w:cs="等线(中文正文)" w:eastAsia="等线(中文正文)"/>
          <w:b w:val="false"/>
          <w:i w:val="false"/>
          <w:sz w:val="20"/>
        </w:rPr>
        <w:t>发言人1：The outlook for wealth management's pre-tax margins is positive, as the business has scale advantages, with growth in AUM (Asset Under Management) leading to operating web benefits and scale benefits. With the current investments across the wealth franchise in technology and AI use cases, no step up in investment is expected, with a focus on productivity improvements and cost efficiencies.</w:t>
      </w:r>
    </w:p>
    <w:p>
      <w:r>
        <w:rPr>
          <w:rFonts w:ascii="等线(中文正文)" w:hAnsi="等线(中文正文)" w:cs="等线(中文正文)" w:eastAsia="等线(中文正文)"/>
          <w:b w:val="false"/>
          <w:i w:val="false"/>
          <w:sz w:val="20"/>
        </w:rPr>
        <w:t/>
      </w:r>
    </w:p>
    <w:p>
      <w:pPr>
        <w:pStyle w:val="ab"/>
      </w:pPr>
      <w:r>
        <w:t>What are the expectations for the timing and measurement of access in the invention mentioned?</w:t>
      </w:r>
    </w:p>
    <w:p>
      <w:r>
        <w:rPr>
          <w:rFonts w:ascii="等线(中文正文)" w:hAnsi="等线(中文正文)" w:cs="等线(中文正文)" w:eastAsia="等线(中文正文)"/>
          <w:b w:val="false"/>
          <w:i w:val="false"/>
          <w:sz w:val="20"/>
        </w:rPr>
        <w:t>发言人1：The speaker suggests that the implementation and timing of the access to the invention will be reported in the existing segments and that KPIs (Key Performance Indicators) will be established to track the broader GDP initiative's progress over time.</w:t>
      </w:r>
    </w:p>
    <w:p>
      <w:r>
        <w:rPr>
          <w:rFonts w:ascii="等线(中文正文)" w:hAnsi="等线(中文正文)" w:cs="等线(中文正文)" w:eastAsia="等线(中文正文)"/>
          <w:b w:val="false"/>
          <w:i w:val="false"/>
          <w:sz w:val="20"/>
        </w:rPr>
        <w:t/>
      </w:r>
    </w:p>
    <w:p>
      <w:pPr>
        <w:pStyle w:val="ab"/>
      </w:pPr>
      <w:r>
        <w:t>What does the speaker imply about the company's current business performance and future plans?</w:t>
      </w:r>
    </w:p>
    <w:p>
      <w:r>
        <w:rPr>
          <w:rFonts w:ascii="等线(中文正文)" w:hAnsi="等线(中文正文)" w:cs="等线(中文正文)" w:eastAsia="等线(中文正文)"/>
          <w:b w:val="false"/>
          <w:i w:val="false"/>
          <w:sz w:val="20"/>
        </w:rPr>
        <w:t>发言人1：The speaker indicates that the company has well-established and successful businesses that are contributing to strong momentum. There is an expectation to integrate these businesses into a unified offering without disrupting their momentum, and significant organizational changes are anticipated over the next 60 to 90 days to facilitate this transition.</w:t>
      </w:r>
    </w:p>
    <w:p>
      <w:r>
        <w:rPr>
          <w:rFonts w:ascii="等线(中文正文)" w:hAnsi="等线(中文正文)" w:cs="等线(中文正文)" w:eastAsia="等线(中文正文)"/>
          <w:b w:val="false"/>
          <w:i w:val="false"/>
          <w:sz w:val="20"/>
        </w:rPr>
        <w:t/>
      </w:r>
    </w:p>
    <w:p>
      <w:pPr>
        <w:pStyle w:val="ab"/>
      </w:pPr>
      <w:r>
        <w:t>How does the company plan to combine its businesses and what is the anticipated impact on clients and teams?</w:t>
      </w:r>
    </w:p>
    <w:p>
      <w:r>
        <w:rPr>
          <w:rFonts w:ascii="等线(中文正文)" w:hAnsi="等线(中文正文)" w:cs="等线(中文正文)" w:eastAsia="等线(中文正文)"/>
          <w:b w:val="false"/>
          <w:i w:val="false"/>
          <w:sz w:val="20"/>
        </w:rPr>
        <w:t>发言人1：The company plans to bring various businesses together to create a unified offering for both clients and teams. This is expected to build on their work analyzing opportunities in North America and beyond, and they intend to set clear targets and introduce new KPIs to track the performance of the combined business over time.</w:t>
      </w:r>
    </w:p>
    <w:p>
      <w:r>
        <w:rPr>
          <w:rFonts w:ascii="等线(中文正文)" w:hAnsi="等线(中文正文)" w:cs="等线(中文正文)" w:eastAsia="等线(中文正文)"/>
          <w:b w:val="false"/>
          <w:i w:val="false"/>
          <w:sz w:val="20"/>
        </w:rPr>
        <w:t/>
      </w:r>
    </w:p>
    <w:p>
      <w:pPr>
        <w:pStyle w:val="ab"/>
      </w:pPr>
      <w:r>
        <w:t>What is the speaker's view on the company's strategy for capital allocation and revenue growth?</w:t>
      </w:r>
    </w:p>
    <w:p>
      <w:r>
        <w:rPr>
          <w:rFonts w:ascii="等线(中文正文)" w:hAnsi="等线(中文正文)" w:cs="等线(中文正文)" w:eastAsia="等线(中文正文)"/>
          <w:b w:val="false"/>
          <w:i w:val="false"/>
          <w:sz w:val="20"/>
        </w:rPr>
        <w:t>发言人1：The speaker acknowledges that different banks have different approaches to capital allocation and that it is challenging to compare across peers. Nevertheless, they assert that the company's strategy of focusing on revenue growth, particularly in light of the significant expansion in the capital markets business, is working well. The company is operating ahead of its own targets and is confident in its ability to continue improving, supported by a positive progression in revenue and strategic mix.</w:t>
      </w:r>
    </w:p>
    <w:p>
      <w:r>
        <w:rPr>
          <w:rFonts w:ascii="等线(中文正文)" w:hAnsi="等线(中文正文)" w:cs="等线(中文正文)" w:eastAsia="等线(中文正文)"/>
          <w:b w:val="false"/>
          <w:i w:val="false"/>
          <w:sz w:val="20"/>
        </w:rPr>
        <w:t/>
      </w:r>
    </w:p>
    <w:p>
      <w:pPr>
        <w:pStyle w:val="ab"/>
      </w:pPr>
      <w:r>
        <w:t>How does the company plan to deploy capital and what is their focus in terms of growth strategies?</w:t>
      </w:r>
    </w:p>
    <w:p>
      <w:r>
        <w:rPr>
          <w:rFonts w:ascii="等线(中文正文)" w:hAnsi="等线(中文正文)" w:cs="等线(中文正文)" w:eastAsia="等线(中文正文)"/>
          <w:b w:val="false"/>
          <w:i w:val="false"/>
          <w:sz w:val="20"/>
        </w:rPr>
        <w:t>发言人1：The company's focus is primarily on organic growth, with momentum in the corporate and commercial loan books and significant opportunities for capital deployment evident in current market conditions. They are also planning to buy back shares at the current pace or accelerate where feasible. The company is confident in creating shareholder value through strategic initiatives, such as leveraging scale in commercial banking and wealth management, without feeling compelled to engage in M&amp;A activity unless it creates meaningful shareholder value.</w:t>
      </w:r>
    </w:p>
    <w:p>
      <w:r>
        <w:rPr>
          <w:rFonts w:ascii="等线(中文正文)" w:hAnsi="等线(中文正文)" w:cs="等线(中文正文)" w:eastAsia="等线(中文正文)"/>
          <w:b w:val="false"/>
          <w:i w:val="false"/>
          <w:sz w:val="20"/>
        </w:rPr>
        <w:t/>
      </w:r>
    </w:p>
    <w:p>
      <w:pPr>
        <w:pStyle w:val="ab"/>
      </w:pPr>
      <w:r>
        <w:t>What is the company's stance on potential acquisitions and capital preservation?</w:t>
      </w:r>
    </w:p>
    <w:p>
      <w:r>
        <w:rPr>
          <w:rFonts w:ascii="等线(中文正文)" w:hAnsi="等线(中文正文)" w:cs="等线(中文正文)" w:eastAsia="等线(中文正文)"/>
          <w:b w:val="false"/>
          <w:i w:val="false"/>
          <w:sz w:val="20"/>
        </w:rPr>
        <w:t>发言人1：The company's priority is organic growth, but they also intend to continue buying back shares and may accelerate this if possible. They are cautious about acquisitions, focusing on creating a playbook that enhances medium-term shareholder value. The company is maintaining capital for growth opportunities and keeping it due to geopolitical instability, but only for activities that will meaningfully increase shareholder value.</w:t>
      </w:r>
    </w:p>
    <w:p>
      <w:r>
        <w:rPr>
          <w:rFonts w:ascii="等线(中文正文)" w:hAnsi="等线(中文正文)" w:cs="等线(中文正文)" w:eastAsia="等线(中文正文)"/>
          <w:b w:val="false"/>
          <w:i w:val="false"/>
          <w:sz w:val="20"/>
        </w:rPr>
        <w:t/>
      </w:r>
    </w:p>
    <w:p>
      <w:pPr>
        <w:pStyle w:val="ab"/>
      </w:pPr>
      <w:r>
        <w:t>Why is Royal's pretax profit growth weaker than expected and how is it affecting margins?</w:t>
      </w:r>
    </w:p>
    <w:p>
      <w:r>
        <w:rPr>
          <w:rFonts w:ascii="等线(中文正文)" w:hAnsi="等线(中文正文)" w:cs="等线(中文正文)" w:eastAsia="等线(中文正文)"/>
          <w:b w:val="false"/>
          <w:i w:val="false"/>
          <w:sz w:val="20"/>
        </w:rPr>
        <w:t>发言人1：Royal's pretax profit growth is weaker than expected primarily due to the impact of certain capital market items. When these are excluded, the underlying growth is more positive, driven by strong loan growth across various segments. The company remains optimistic about the trajectory of net interest income and expects a moderation in the impact of the decrease in purchased securities (PPA) headwind in the fourth quarter, which currently translates into a 40 basis point impact.</w:t>
      </w:r>
    </w:p>
    <w:p>
      <w:r>
        <w:rPr>
          <w:rFonts w:ascii="等线(中文正文)" w:hAnsi="等线(中文正文)" w:cs="等线(中文正文)" w:eastAsia="等线(中文正文)"/>
          <w:b w:val="false"/>
          <w:i w:val="false"/>
          <w:sz w:val="20"/>
        </w:rPr>
        <w:t/>
      </w:r>
    </w:p>
    <w:p>
      <w:pPr>
        <w:pStyle w:val="ab"/>
      </w:pPr>
      <w:r>
        <w:t>What is the competitive dynamic behind Royal's deposit growth and how does it compare to peers?</w:t>
      </w:r>
    </w:p>
    <w:p>
      <w:r>
        <w:rPr>
          <w:rFonts w:ascii="等线(中文正文)" w:hAnsi="等线(中文正文)" w:cs="等线(中文正文)" w:eastAsia="等线(中文正文)"/>
          <w:b w:val="false"/>
          <w:i w:val="false"/>
          <w:sz w:val="20"/>
        </w:rPr>
        <w:t>发言人1：Royal's deposit growth for the quarter was 1.2%, which is in line with its peers but not as accelerated. The speaker is curious about the competitive dynamics influencing this aspect of the company's performance and how it might be explained in comparison to the performance of other banks.</w:t>
      </w:r>
    </w:p>
    <w:p>
      <w:r>
        <w:rPr>
          <w:rFonts w:ascii="等线(中文正文)" w:hAnsi="等线(中文正文)" w:cs="等线(中文正文)" w:eastAsia="等线(中文正文)"/>
          <w:b w:val="false"/>
          <w:i w:val="false"/>
          <w:sz w:val="20"/>
        </w:rPr>
        <w:t/>
      </w:r>
    </w:p>
    <w:p>
      <w:pPr>
        <w:pStyle w:val="ab"/>
      </w:pPr>
      <w:r>
        <w:t>What was the growth rate for the current quarter compared to the previous one?</w:t>
      </w:r>
    </w:p>
    <w:p>
      <w:r>
        <w:rPr>
          <w:rFonts w:ascii="等线(中文正文)" w:hAnsi="等线(中文正文)" w:cs="等线(中文正文)" w:eastAsia="等线(中文正文)"/>
          <w:b w:val="false"/>
          <w:i w:val="false"/>
          <w:sz w:val="20"/>
        </w:rPr>
        <w:t>发言人1：The growth rate for the current quarter was double that of the previous quarter, with July being the highest growth month in a year.</w:t>
      </w:r>
    </w:p>
    <w:p>
      <w:r>
        <w:rPr>
          <w:rFonts w:ascii="等线(中文正文)" w:hAnsi="等线(中文正文)" w:cs="等线(中文正文)" w:eastAsia="等线(中文正文)"/>
          <w:b w:val="false"/>
          <w:i w:val="false"/>
          <w:sz w:val="20"/>
        </w:rPr>
        <w:t/>
      </w:r>
    </w:p>
    <w:p>
      <w:pPr>
        <w:pStyle w:val="ab"/>
      </w:pPr>
      <w:r>
        <w:t>Which sectors are contributing to the strong momentum in client growth?</w:t>
      </w:r>
    </w:p>
    <w:p>
      <w:r>
        <w:rPr>
          <w:rFonts w:ascii="等线(中文正文)" w:hAnsi="等线(中文正文)" w:cs="等线(中文正文)" w:eastAsia="等线(中文正文)"/>
          <w:b w:val="false"/>
          <w:i w:val="false"/>
          <w:sz w:val="20"/>
        </w:rPr>
        <w:t>发言人1：The sectors contributing to the momentum in client growth include agriculture, health care, public sector, and emerging trends in real estate, especially in Ontario where developers have shifted towards single-family homes and purpose-built rental units.</w:t>
      </w:r>
    </w:p>
    <w:p>
      <w:r>
        <w:rPr>
          <w:rFonts w:ascii="等线(中文正文)" w:hAnsi="等线(中文正文)" w:cs="等线(中文正文)" w:eastAsia="等线(中文正文)"/>
          <w:b w:val="false"/>
          <w:i w:val="false"/>
          <w:sz w:val="20"/>
        </w:rPr>
        <w:t/>
      </w:r>
    </w:p>
    <w:p>
      <w:pPr>
        <w:pStyle w:val="ab"/>
      </w:pPr>
      <w:r>
        <w:t>How is the company performing in terms of client retention?</w:t>
      </w:r>
    </w:p>
    <w:p>
      <w:r>
        <w:rPr>
          <w:rFonts w:ascii="等线(中文正文)" w:hAnsi="等线(中文正文)" w:cs="等线(中文正文)" w:eastAsia="等线(中文正文)"/>
          <w:b w:val="false"/>
          <w:i w:val="false"/>
          <w:sz w:val="20"/>
        </w:rPr>
        <w:t>发言人1：The company has strong client retention, which is below targeted attrition rates expected during due diligence. Retention has been strong, especially after fully integrating and completing the transition services agreement (TSA), with growth in the client base.</w:t>
      </w:r>
    </w:p>
    <w:p>
      <w:r>
        <w:rPr>
          <w:rFonts w:ascii="等线(中文正文)" w:hAnsi="等线(中文正文)" w:cs="等线(中文正文)" w:eastAsia="等线(中文正文)"/>
          <w:b w:val="false"/>
          <w:i w:val="false"/>
          <w:sz w:val="20"/>
        </w:rPr>
        <w:t/>
      </w:r>
    </w:p>
    <w:p>
      <w:pPr>
        <w:pStyle w:val="ab"/>
      </w:pPr>
      <w:r>
        <w:t>What is the company's stance on capital ratios and potential future changes?</w:t>
      </w:r>
    </w:p>
    <w:p>
      <w:r>
        <w:rPr>
          <w:rFonts w:ascii="等线(中文正文)" w:hAnsi="等线(中文正文)" w:cs="等线(中文正文)" w:eastAsia="等线(中文正文)"/>
          <w:b w:val="false"/>
          <w:i w:val="false"/>
          <w:sz w:val="20"/>
        </w:rPr>
        <w:t>发言人1：The company is considering the possibility of capital ratios returning to a historical dynamic where banks hold a buffer above the high end of the DSB, which could potentially allow for a CT A requirement up to 11%, leading to a target of around 12% on CT 1 over the next two to three years.</w:t>
      </w:r>
    </w:p>
    <w:p>
      <w:r>
        <w:rPr>
          <w:rFonts w:ascii="等线(中文正文)" w:hAnsi="等线(中文正文)" w:cs="等线(中文正文)" w:eastAsia="等线(中文正文)"/>
          <w:b w:val="false"/>
          <w:i w:val="false"/>
          <w:sz w:val="20"/>
        </w:rPr>
        <w:t/>
      </w:r>
    </w:p>
    <w:p>
      <w:pPr>
        <w:pStyle w:val="ab"/>
      </w:pPr>
      <w:r>
        <w:t>Is the company looking to expand its capabilities organically or inorganically?</w:t>
      </w:r>
    </w:p>
    <w:p>
      <w:r>
        <w:rPr>
          <w:rFonts w:ascii="等线(中文正文)" w:hAnsi="等线(中文正文)" w:cs="等线(中文正文)" w:eastAsia="等线(中文正文)"/>
          <w:b w:val="false"/>
          <w:i w:val="false"/>
          <w:sz w:val="20"/>
        </w:rPr>
        <w:t>发言人1：The company is focusing on organic growth by adding teams across different markets, enhancing product capabilities, and integrating businesses. However, they are also open to inorganic expansion, particularly in the U.S., if it provides a significant scale opportunity.</w:t>
      </w:r>
    </w:p>
    <w:p>
      <w:r>
        <w:rPr>
          <w:rFonts w:ascii="等线(中文正文)" w:hAnsi="等线(中文正文)" w:cs="等线(中文正文)" w:eastAsia="等线(中文正文)"/>
          <w:b w:val="false"/>
          <w:i w:val="false"/>
          <w:sz w:val="20"/>
        </w:rPr>
        <w:t/>
      </w:r>
    </w:p>
    <w:p>
      <w:pPr>
        <w:pStyle w:val="ab"/>
      </w:pPr>
      <w:r>
        <w:t>How does the company plan to integrate with other RBC branches and what are the opportunities?</w:t>
      </w:r>
    </w:p>
    <w:p>
      <w:r>
        <w:rPr>
          <w:rFonts w:ascii="等线(中文正文)" w:hAnsi="等线(中文正文)" w:cs="等线(中文正文)" w:eastAsia="等线(中文正文)"/>
          <w:b w:val="false"/>
          <w:i w:val="false"/>
          <w:sz w:val="20"/>
        </w:rPr>
        <w:t>发言人1：The company plans to integrate with other RBC branches, specifically looking at integrating operations in the U.S. There are significant opportunities to roll another bank onto their platforms and integrate with existing RBC operations.</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