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天风策略周谈丨产业赛道与主题投资风向标 260827_导读</w:t>
      </w:r>
    </w:p>
    <w:p>
      <w:pPr>
        <w:pStyle w:val="a0"/>
        <w:jc w:val="center"/>
      </w:pPr>
      <w:r>
        <w:t>2026年08月27日 22:07</w:t>
      </w:r>
    </w:p>
    <w:p>
      <w:pPr>
        <w:pStyle w:val="a7"/>
      </w:pPr>
      <w:r>
        <w:t>关键词</w:t>
      </w:r>
    </w:p>
    <w:p>
      <w:r>
        <w:rPr>
          <w:rFonts w:ascii="等线(中文正文)" w:hAnsi="等线(中文正文)" w:cs="等线(中文正文)" w:eastAsia="等线(中文正文)"/>
          <w:b w:val="false"/>
          <w:i w:val="false"/>
          <w:sz w:val="20"/>
        </w:rPr>
        <w:t xml:space="preserve">科技 市场 再平衡 AI 基本面 产业趋势 创新药 光通信 政策 配置 黄金 筹码 波动率 预期门槛 算力 国产替代 多模态模型 推理需求 边缘计算 核心成长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当前市场正经历从单一科技驱动向多盈利线索扩散的再平衡阶段，此过程不标志科技产业趋势反转，而是逐步拓宽至金融、资源、医药及小盘股，同时科技板块消化筹码，待新产业趋势催化。近期A股表现受美元和美债影响，金融、资源、医药板块独立行情显著。黄金、创新药、光通信成为投资重点，分别对冲财政信用不确定性、在科技调整期间表现独立、AI产业链高盈利可见度。政策支持物理网络与智能网络，产业趋势向多模态模型、AI应用与算力分布变化发展。建议中期关注有业绩支撑的AI基础设施与国产算力，短期则聚焦非银金融、有色金属和创新药，以增强收益来源并降低科技板块拥挤度。整体而言，再平衡是市场常态，不同领域投资机遇与挑战并存。</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市场再平衡与科技产业趋势分析</w:t>
      </w:r>
    </w:p>
    <w:p>
      <w:r>
        <w:rPr>
          <w:rFonts w:ascii="等线(中文正文)" w:hAnsi="等线(中文正文)" w:cs="等线(中文正文)" w:eastAsia="等线(中文正文)"/>
          <w:b w:val="false"/>
          <w:i w:val="false"/>
          <w:sz w:val="20"/>
        </w:rPr>
        <w:t>市场正经历上涨动力从高弹性科技向多元盈利线索扩散的阶段性再平衡，科技产业趋势未反转，科技股消化筹码后等待新产业趋势催化，基本面预期强则增量资金回归AI，市场对需求来源、订单兑现和盈利上修有更高要求。</w:t>
      </w:r>
    </w:p>
    <w:p>
      <w:r>
        <w:rPr>
          <w:rFonts w:ascii="等线(中文正文)" w:hAnsi="等线(中文正文)" w:cs="等线(中文正文)" w:eastAsia="等线(中文正文)"/>
          <w:b w:val="false"/>
          <w:i w:val="false"/>
          <w:sz w:val="20"/>
        </w:rPr>
        <w:t/>
      </w:r>
    </w:p>
    <w:p>
      <w:pPr>
        <w:pStyle w:val="ab"/>
        <w:numPr>
          <w:numId w:val="2"/>
        </w:numPr>
      </w:pPr>
      <w:r>
        <w:t>01:29 宏观环境下的资产轮动与市场结构优化</w:t>
      </w:r>
    </w:p>
    <w:p>
      <w:r>
        <w:rPr>
          <w:rFonts w:ascii="等线(中文正文)" w:hAnsi="等线(中文正文)" w:cs="等线(中文正文)" w:eastAsia="等线(中文正文)"/>
          <w:b w:val="false"/>
          <w:i w:val="false"/>
          <w:sz w:val="20"/>
        </w:rPr>
        <w:t>对话分析了近期宏观环境对资产价格的影响，指出美元走弱与长端利率高位并存的矛盾现象反映了市场对不同资产的差异化反应。在A股市场，科技调整后资金向非银金融、有色金属和医药等方向流动，表明市场正从单一科技主线转向多元盈利方向，提升了市场结构的稳定性和健康度。</w:t>
      </w:r>
    </w:p>
    <w:p>
      <w:r>
        <w:rPr>
          <w:rFonts w:ascii="等线(中文正文)" w:hAnsi="等线(中文正文)" w:cs="等线(中文正文)" w:eastAsia="等线(中文正文)"/>
          <w:b w:val="false"/>
          <w:i w:val="false"/>
          <w:sz w:val="20"/>
        </w:rPr>
        <w:t/>
      </w:r>
    </w:p>
    <w:p>
      <w:pPr>
        <w:pStyle w:val="ab"/>
        <w:numPr>
          <w:numId w:val="3"/>
        </w:numPr>
      </w:pPr>
      <w:r>
        <w:t>04:43 科技股反弹偏弱原因及市场判断</w:t>
      </w:r>
    </w:p>
    <w:p>
      <w:r>
        <w:rPr>
          <w:rFonts w:ascii="等线(中文正文)" w:hAnsi="等线(中文正文)" w:cs="等线(中文正文)" w:eastAsia="等线(中文正文)"/>
          <w:b w:val="false"/>
          <w:i w:val="false"/>
          <w:sz w:val="20"/>
        </w:rPr>
        <w:t>科技股反弹偏弱主要因筹码集中度高、波动率影响及预期门槛上升。市场判断AI仍为主线，短期处于再平衡阶段，建议配置核心成长加独立景气组合。</w:t>
      </w:r>
    </w:p>
    <w:p>
      <w:r>
        <w:rPr>
          <w:rFonts w:ascii="等线(中文正文)" w:hAnsi="等线(中文正文)" w:cs="等线(中文正文)" w:eastAsia="等线(中文正文)"/>
          <w:b w:val="false"/>
          <w:i w:val="false"/>
          <w:sz w:val="20"/>
        </w:rPr>
        <w:t/>
      </w:r>
    </w:p>
    <w:p>
      <w:pPr>
        <w:pStyle w:val="ab"/>
        <w:numPr>
          <w:numId w:val="4"/>
        </w:numPr>
      </w:pPr>
      <w:r>
        <w:t>08:53 科技、黄金与创新药：市场新趋势解析</w:t>
      </w:r>
    </w:p>
    <w:p>
      <w:r>
        <w:rPr>
          <w:rFonts w:ascii="等线(中文正文)" w:hAnsi="等线(中文正文)" w:cs="等线(中文正文)" w:eastAsia="等线(中文正文)"/>
          <w:b w:val="false"/>
          <w:i w:val="false"/>
          <w:sz w:val="20"/>
        </w:rPr>
        <w:t>对话探讨了科技领域的未来趋势，包括算力需求增长、硬件升级及软件应用的垂直场景扩展。黄金被视作对财政信用和政策不确定性的对冲工具，其价值超越了实际利率的反向交易。创新药行业展现独立行情，得益于中国医药产业收入结构的变化，从研发费用驱动转向产品和合作现金流驱动。光通信作为AI产业链中盈利可见度高的环节，其需求增长得到英伟达财报确认，国内多家公司中报验证了收入与利润的增长。</w:t>
      </w:r>
    </w:p>
    <w:p>
      <w:r>
        <w:rPr>
          <w:rFonts w:ascii="等线(中文正文)" w:hAnsi="等线(中文正文)" w:cs="等线(中文正文)" w:eastAsia="等线(中文正文)"/>
          <w:b w:val="false"/>
          <w:i w:val="false"/>
          <w:sz w:val="20"/>
        </w:rPr>
        <w:t/>
      </w:r>
    </w:p>
    <w:p>
      <w:pPr>
        <w:pStyle w:val="ab"/>
        <w:numPr>
          <w:numId w:val="5"/>
        </w:numPr>
      </w:pPr>
      <w:r>
        <w:t>11:55 政策回顾：双层基础设施与智能网络协同推进</w:t>
      </w:r>
    </w:p>
    <w:p>
      <w:r>
        <w:rPr>
          <w:rFonts w:ascii="等线(中文正文)" w:hAnsi="等线(中文正文)" w:cs="等线(中文正文)" w:eastAsia="等线(中文正文)"/>
          <w:b w:val="false"/>
          <w:i w:val="false"/>
          <w:sz w:val="20"/>
        </w:rPr>
        <w:t>政策主线聚焦于两层基础设施同步推进，包括以六张网为代表的物理网络和智能网络。物理网络强调能源数据与物流协同，智能网络则通过算力补贴等措施支持使用量，推动国产算力从项目驱动转向运营驱动。政策旨在促进电网、互联网通信设备及资源需求，以及国产芯片服务器、互联存储和模型服务的发展。</w:t>
      </w:r>
    </w:p>
    <w:p>
      <w:r>
        <w:rPr>
          <w:rFonts w:ascii="等线(中文正文)" w:hAnsi="等线(中文正文)" w:cs="等线(中文正文)" w:eastAsia="等线(中文正文)"/>
          <w:b w:val="false"/>
          <w:i w:val="false"/>
          <w:sz w:val="20"/>
        </w:rPr>
        <w:t/>
      </w:r>
    </w:p>
    <w:p>
      <w:pPr>
        <w:pStyle w:val="ab"/>
        <w:numPr>
          <w:numId w:val="6"/>
        </w:numPr>
      </w:pPr>
      <w:r>
        <w:t>13:32 多模态模型推动AI产业趋势升级</w:t>
      </w:r>
    </w:p>
    <w:p>
      <w:r>
        <w:rPr>
          <w:rFonts w:ascii="等线(中文正文)" w:hAnsi="等线(中文正文)" w:cs="等线(中文正文)" w:eastAsia="等线(中文正文)"/>
          <w:b w:val="false"/>
          <w:i w:val="false"/>
          <w:sz w:val="20"/>
        </w:rPr>
        <w:t>近期推出的多模态模型，如质谱GLM5.3 flash，将视觉能力原生融入，标志着AI开始同时处理文字、图像、视频和界面反馈，形成观察、判断和执行的闭环，任务推理链条加长，对算力需求提高。产业增量来自推理规模化、需求多样化和算力分布变化三方面，其中推理规模化关注模型调用成本下降和算力中心利用率提高，需求多样化涉及药物研发、材料发现、气象工程仿真等多个领域，算力分布变化则形成中心训练与复杂推理、边缘实时响应、端侧隐私与低延迟的分层架构。海外链优势在于资本开支和客户订单的直接性，国内链则注重自主可控和系统效率，重点观察国产AI芯片、先进封装半导体设备材料、服务器互联和调度软件的发展。</w:t>
      </w:r>
    </w:p>
    <w:p>
      <w:r>
        <w:rPr>
          <w:rFonts w:ascii="等线(中文正文)" w:hAnsi="等线(中文正文)" w:cs="等线(中文正文)" w:eastAsia="等线(中文正文)"/>
          <w:b w:val="false"/>
          <w:i w:val="false"/>
          <w:sz w:val="20"/>
        </w:rPr>
        <w:t/>
      </w:r>
    </w:p>
    <w:p>
      <w:pPr>
        <w:pStyle w:val="ab"/>
        <w:numPr>
          <w:numId w:val="7"/>
        </w:numPr>
      </w:pPr>
      <w:r>
        <w:t>16:07 科技主线未终结：市场再平衡下的资金流向与科技趋势</w:t>
      </w:r>
    </w:p>
    <w:p>
      <w:r>
        <w:rPr>
          <w:rFonts w:ascii="等线(中文正文)" w:hAnsi="等线(中文正文)" w:cs="等线(中文正文)" w:eastAsia="等线(中文正文)"/>
          <w:b w:val="false"/>
          <w:i w:val="false"/>
          <w:sz w:val="20"/>
        </w:rPr>
        <w:t>当前市场进入再平衡阶段，资金向黄金、有色金融和创新药扩散，科技主线虽受挤压但趋势未变。科技领域需关注成交放大、核心资产价格确认及token增长等信号，中期配置AI基础设施和国产算力，短期保留非银金融、有色金属和创新药。科技可能仍是弹性更高的进攻方向，市场再平衡为组合增加新收益来源，降低科技领域拥挤度，期待产业催化共振。</w:t>
      </w:r>
    </w:p>
    <w:p>
      <w:r>
        <w:rPr>
          <w:rFonts w:ascii="等线(中文正文)" w:hAnsi="等线(中文正文)" w:cs="等线(中文正文)" w:eastAsia="等线(中文正文)"/>
          <w:b w:val="false"/>
          <w:i w:val="false"/>
          <w:sz w:val="20"/>
        </w:rPr>
        <w:t/>
      </w:r>
    </w:p>
    <w:p>
      <w:pPr>
        <w:pStyle w:val="a7"/>
      </w:pPr>
      <w:r>
        <w:t>发言总结</w:t>
      </w:r>
    </w:p>
    <w:p>
      <w:pPr>
        <w:pStyle w:val="ab"/>
        <w:numPr>
          <w:numId w:val="8"/>
        </w:numPr>
      </w:pPr>
      <w:r>
        <w:t>发言人1</w:t>
      </w:r>
    </w:p>
    <w:p>
      <w:r>
        <w:rPr>
          <w:rFonts w:ascii="等线(中文正文)" w:hAnsi="等线(中文正文)" w:cs="等线(中文正文)" w:eastAsia="等线(中文正文)"/>
          <w:b w:val="false"/>
          <w:i w:val="false"/>
          <w:sz w:val="20"/>
        </w:rPr>
        <w:t>他，天风策略的肖峰，深入分析了当前市场状态、产业趋势、政策影响以及重点投资主题。他指出，市场正经历从单一科技板块向多元盈利线索的阶段性再平衡，科技产业趋势未根本反转，主线未永久切换。宏观经济环境，包括美元走势与美债利率，对市场有显著影响，尽管市场波动，但板块轮动显示结构性健康变化。肖峰强调了黄金、创新药和光通信行业的独立性和成长潜力，认为这些领域在当前市场环境下具有较好投资价值。他还讨论了政策环境，特别是在基础设施建设和智能网络推进方面的政府支持。对于AI产业趋势，肖峰认为AI仍是主要增长动力，未来突破将依赖推理能力扩展和应用场景深化。最后，他建议投资者关注科技外，也考虑黄金、创新药等板块，以实现投资组合多元化和风险控制。总体而言，发言强调了市场结构性变化和投资机会，以及对未来科技趋势和政策导向的前瞻分析。</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问：本周市场的主要观点是什么？</w:t>
      </w:r>
    </w:p>
    <w:p>
      <w:r>
        <w:rPr>
          <w:rFonts w:ascii="等线(中文正文)" w:hAnsi="等线(中文正文)" w:cs="等线(中文正文)" w:eastAsia="等线(中文正文)"/>
          <w:b w:val="false"/>
          <w:i w:val="false"/>
          <w:sz w:val="20"/>
        </w:rPr>
        <w:t>发言人1 答：本周的核心结论是，当前市场正在经历一个由单一高弹性科技向多元盈利线索扩散的阶段性再平衡过程，但并不意味着科技产业趋势发生反转或主线已完成永久切换。指数修复主要由金融资源、医药和小微盘共同推动市场宽度扩张，而科技则在消化筹码、降低波动，并等待新的产业趋势催化。例如，在英伟达财报落地后，算力硬件重新走强，表明基本面预期增强时增量资金仍会回到AI，但现在市场要求看到新的需求来源、订单兑现和盈利上修。</w:t>
      </w:r>
    </w:p>
    <w:p>
      <w:r>
        <w:rPr>
          <w:rFonts w:ascii="等线(中文正文)" w:hAnsi="等线(中文正文)" w:cs="等线(中文正文)" w:eastAsia="等线(中文正文)"/>
          <w:b w:val="false"/>
          <w:i w:val="false"/>
          <w:sz w:val="20"/>
        </w:rPr>
        <w:t/>
      </w:r>
    </w:p>
    <w:p>
      <w:pPr>
        <w:pStyle w:val="ab"/>
      </w:pPr>
      <w:r>
        <w:t>发言人1 问：宏观环境方面的情况如何？</w:t>
      </w:r>
    </w:p>
    <w:p>
      <w:r>
        <w:rPr>
          <w:rFonts w:ascii="等线(中文正文)" w:hAnsi="等线(中文正文)" w:cs="等线(中文正文)" w:eastAsia="等线(中文正文)"/>
          <w:b w:val="false"/>
          <w:i w:val="false"/>
          <w:sz w:val="20"/>
        </w:rPr>
        <w:t>发言人1 答：近期海外市场出现美元偏弱与美债长端利率仍处高位的矛盾组合。美元走弱反映美国财政信用政策不确定性及美元相对优势下降，而长端利率高位则反映国债供给期限溢价和财政融资成本压力。这导致黄金有色走强和科技股反弹反复，而非互相矛盾的交易，而是同一宏观组合在不同资产上的映射。</w:t>
      </w:r>
    </w:p>
    <w:p>
      <w:r>
        <w:rPr>
          <w:rFonts w:ascii="等线(中文正文)" w:hAnsi="等线(中文正文)" w:cs="等线(中文正文)" w:eastAsia="等线(中文正文)"/>
          <w:b w:val="false"/>
          <w:i w:val="false"/>
          <w:sz w:val="20"/>
        </w:rPr>
        <w:t/>
      </w:r>
    </w:p>
    <w:p>
      <w:pPr>
        <w:pStyle w:val="ab"/>
      </w:pPr>
      <w:r>
        <w:t>发言人1 问：A股市场的表现如何？</w:t>
      </w:r>
    </w:p>
    <w:p>
      <w:r>
        <w:rPr>
          <w:rFonts w:ascii="等线(中文正文)" w:hAnsi="等线(中文正文)" w:cs="等线(中文正文)" w:eastAsia="等线(中文正文)"/>
          <w:b w:val="false"/>
          <w:i w:val="false"/>
          <w:sz w:val="20"/>
        </w:rPr>
        <w:t>发言人1 答：在科技调整后，市场并未演化为全面风险收缩，而是通过小微盘、医药、券商保险和工业金属等板块修复和轮动来展现向上的力量。这些板块走强的原因包括市场流动性修复、低位补涨、特定行业的需求支持以及与科技相关性较低等。</w:t>
      </w:r>
    </w:p>
    <w:p>
      <w:r>
        <w:rPr>
          <w:rFonts w:ascii="等线(中文正文)" w:hAnsi="等线(中文正文)" w:cs="等线(中文正文)" w:eastAsia="等线(中文正文)"/>
          <w:b w:val="false"/>
          <w:i w:val="false"/>
          <w:sz w:val="20"/>
        </w:rPr>
        <w:t/>
      </w:r>
    </w:p>
    <w:p>
      <w:pPr>
        <w:pStyle w:val="ab"/>
      </w:pPr>
      <w:r>
        <w:t>发言人1 问：当前市场的结构特点是什么？</w:t>
      </w:r>
    </w:p>
    <w:p>
      <w:r>
        <w:rPr>
          <w:rFonts w:ascii="等线(中文正文)" w:hAnsi="等线(中文正文)" w:cs="等线(中文正文)" w:eastAsia="等线(中文正文)"/>
          <w:b w:val="false"/>
          <w:i w:val="false"/>
          <w:sz w:val="20"/>
        </w:rPr>
        <w:t>发言人1 答：当前市场的结构特点是向上的力量不再局限于单一板块，而是多方向轮动，这有助于提升市场的稳定性。金融资源和医药板块并非在共同讲述一个新的总量复苏趋势，它们的产业逻辑不同，而是连接起来的是市场结构特点，即在科技仓位偏高时，资金会寻找低拥挤、盈利能验证且与科技相关性较低的方向以降低指数对单一科技主线的依赖。</w:t>
      </w:r>
    </w:p>
    <w:p>
      <w:r>
        <w:rPr>
          <w:rFonts w:ascii="等线(中文正文)" w:hAnsi="等线(中文正文)" w:cs="等线(中文正文)" w:eastAsia="等线(中文正文)"/>
          <w:b w:val="false"/>
          <w:i w:val="false"/>
          <w:sz w:val="20"/>
        </w:rPr>
        <w:t/>
      </w:r>
    </w:p>
    <w:p>
      <w:pPr>
        <w:pStyle w:val="ab"/>
      </w:pPr>
      <w:r>
        <w:t>发言人1 问：对市场中期和短期的判断是怎样的？</w:t>
      </w:r>
    </w:p>
    <w:p>
      <w:r>
        <w:rPr>
          <w:rFonts w:ascii="等线(中文正文)" w:hAnsi="等线(中文正文)" w:cs="等线(中文正文)" w:eastAsia="等线(中文正文)"/>
          <w:b w:val="false"/>
          <w:i w:val="false"/>
          <w:sz w:val="20"/>
        </w:rPr>
        <w:t>发言人1 答：中期看，AI仍然是盈利确定性较高且产业变化最快的主线，海外双机电和国产算力都在持续获得基本面验证。短期看，市场仍处于再平衡阶段，科技回归主线并非直线过程，在成交恢复和核心资产止跌与新趋势形成共振前，金融资源、创新药等低相关性和景气度较好的方向仍会反复活跃。配置上可采用核心成长加独立景气组合，关注光模块、光纤器件、高端PCB存储、国产算力基础设施以及受益于成交回升的金融供给约束、价格验证较强的有色金属和临床授权能够兑现的创新药。</w:t>
      </w:r>
    </w:p>
    <w:p>
      <w:r>
        <w:rPr>
          <w:rFonts w:ascii="等线(中文正文)" w:hAnsi="等线(中文正文)" w:cs="等线(中文正文)" w:eastAsia="等线(中文正文)"/>
          <w:b w:val="false"/>
          <w:i w:val="false"/>
          <w:sz w:val="20"/>
        </w:rPr>
        <w:t/>
      </w:r>
    </w:p>
    <w:p>
      <w:pPr>
        <w:pStyle w:val="ab"/>
      </w:pPr>
      <w:r>
        <w:t>发言人1 问：科技反弹偏弱的原因有哪些？</w:t>
      </w:r>
    </w:p>
    <w:p>
      <w:r>
        <w:rPr>
          <w:rFonts w:ascii="等线(中文正文)" w:hAnsi="等线(中文正文)" w:cs="等线(中文正文)" w:eastAsia="等线(中文正文)"/>
          <w:b w:val="false"/>
          <w:i w:val="false"/>
          <w:sz w:val="20"/>
        </w:rPr>
        <w:t>发言人1 答：科技反弹偏弱主要有三个原因：一是前期核心科技板块机构集中度较高，在股价调整后风险偏好短期内难以恢复；二是波动率上升导致部分量化资金需降低高弹性资产的波动暴露；三是市场对业绩增长的预期门槛提高，不再像过去那样仅凭一份超预期财报就能推动整个产业链估值扩张。</w:t>
      </w:r>
    </w:p>
    <w:p>
      <w:r>
        <w:rPr>
          <w:rFonts w:ascii="等线(中文正文)" w:hAnsi="等线(中文正文)" w:cs="等线(中文正文)" w:eastAsia="等线(中文正文)"/>
          <w:b w:val="false"/>
          <w:i w:val="false"/>
          <w:sz w:val="20"/>
        </w:rPr>
        <w:t/>
      </w:r>
    </w:p>
    <w:p>
      <w:pPr>
        <w:pStyle w:val="ab"/>
      </w:pPr>
      <w:r>
        <w:t>发言人1 问：科技下一轮更有号召力的新叙事将来自哪些方向？</w:t>
      </w:r>
    </w:p>
    <w:p>
      <w:r>
        <w:rPr>
          <w:rFonts w:ascii="等线(中文正文)" w:hAnsi="等线(中文正文)" w:cs="等线(中文正文)" w:eastAsia="等线(中文正文)"/>
          <w:b w:val="false"/>
          <w:i w:val="false"/>
          <w:sz w:val="20"/>
        </w:rPr>
        <w:t>发言人1 答：下一轮科技更具号召力的新叙事将主要来自三个方面：一是token消耗继续高速增长，推理需求成为算力收入的核心变量；二是高价值应用场景如AI for S、物理AI企业智能体等扩展；三是算力由中心云向边缘和端侧延伸，伴随互联存储散热和电力需求升级，软件和应用端将转向形成付费复购和生产率提升的垂直场景。</w:t>
      </w:r>
    </w:p>
    <w:p>
      <w:r>
        <w:rPr>
          <w:rFonts w:ascii="等线(中文正文)" w:hAnsi="等线(中文正文)" w:cs="等线(中文正文)" w:eastAsia="等线(中文正文)"/>
          <w:b w:val="false"/>
          <w:i w:val="false"/>
          <w:sz w:val="20"/>
        </w:rPr>
        <w:t/>
      </w:r>
    </w:p>
    <w:p>
      <w:pPr>
        <w:pStyle w:val="ab"/>
      </w:pPr>
      <w:r>
        <w:t>发言人1 问：黄金近期的逻辑是什么，为什么它不仅仅是因为降息预期？</w:t>
      </w:r>
    </w:p>
    <w:p>
      <w:r>
        <w:rPr>
          <w:rFonts w:ascii="等线(中文正文)" w:hAnsi="等线(中文正文)" w:cs="等线(中文正文)" w:eastAsia="等线(中文正文)"/>
          <w:b w:val="false"/>
          <w:i w:val="false"/>
          <w:sz w:val="20"/>
        </w:rPr>
        <w:t>发言人1 答：黄金近期的逻辑不能仅用降息预期来解释，其定价基础包括美元信用、美国财政赤字、偿债供给和央行购金等因素。当前市场担忧美国资产的融资成本及美元体系外的价值存储工具，因此黄金成为对财政信用和政策不确定性的对冲，其配置价值独立于科技，有助于改善组合在高波动阶段的稳定性。</w:t>
      </w:r>
    </w:p>
    <w:p>
      <w:r>
        <w:rPr>
          <w:rFonts w:ascii="等线(中文正文)" w:hAnsi="等线(中文正文)" w:cs="等线(中文正文)" w:eastAsia="等线(中文正文)"/>
          <w:b w:val="false"/>
          <w:i w:val="false"/>
          <w:sz w:val="20"/>
        </w:rPr>
        <w:t/>
      </w:r>
    </w:p>
    <w:p>
      <w:pPr>
        <w:pStyle w:val="ab"/>
      </w:pPr>
      <w:r>
        <w:t>发言人1 问：创新药为何能在科技调整期间走出独立行情？</w:t>
      </w:r>
    </w:p>
    <w:p>
      <w:r>
        <w:rPr>
          <w:rFonts w:ascii="等线(中文正文)" w:hAnsi="等线(中文正文)" w:cs="等线(中文正文)" w:eastAsia="等线(中文正文)"/>
          <w:b w:val="false"/>
          <w:i w:val="false"/>
          <w:sz w:val="20"/>
        </w:rPr>
        <w:t>发言人1 答：创新药之所以能在科技调整期间独立于市场走势，是因为中国医药产业的收入结构正在发生变化，海外授权合作、临床数据产品销售和CRO订单等提供了盈利验证。部分公司已从研发费用驱动的远期估值转向产品和合作现金流驱动的盈利定价。</w:t>
      </w:r>
    </w:p>
    <w:p>
      <w:r>
        <w:rPr>
          <w:rFonts w:ascii="等线(中文正文)" w:hAnsi="等线(中文正文)" w:cs="等线(中文正文)" w:eastAsia="等线(中文正文)"/>
          <w:b w:val="false"/>
          <w:i w:val="false"/>
          <w:sz w:val="20"/>
        </w:rPr>
        <w:t/>
      </w:r>
    </w:p>
    <w:p>
      <w:pPr>
        <w:pStyle w:val="ab"/>
      </w:pPr>
      <w:r>
        <w:t>发言人1 问：光通信为何是AI产业链中盈利可见度较高的环节？</w:t>
      </w:r>
    </w:p>
    <w:p>
      <w:r>
        <w:rPr>
          <w:rFonts w:ascii="等线(中文正文)" w:hAnsi="等线(中文正文)" w:cs="等线(中文正文)" w:eastAsia="等线(中文正文)"/>
          <w:b w:val="false"/>
          <w:i w:val="false"/>
          <w:sz w:val="20"/>
        </w:rPr>
        <w:t>发言人1 答：光通信是AI产业链中盈利可见度较高的核心环节，主要由于全球算力基础设施需求的增长（如英伟达财报所示），这推动了对高速光模块、光纤交汇网络测试设备和PCB的需求。国内多家光通信和PCB公司的中报已经验证了收入和利润的增长，表明资本开支正沿产业链传导。</w:t>
      </w:r>
    </w:p>
    <w:p>
      <w:r>
        <w:rPr>
          <w:rFonts w:ascii="等线(中文正文)" w:hAnsi="等线(中文正文)" w:cs="等线(中文正文)" w:eastAsia="等线(中文正文)"/>
          <w:b w:val="false"/>
          <w:i w:val="false"/>
          <w:sz w:val="20"/>
        </w:rPr>
        <w:t/>
      </w:r>
    </w:p>
    <w:p>
      <w:pPr>
        <w:pStyle w:val="ab"/>
      </w:pPr>
      <w:r>
        <w:t>发言人1 问：近期政策主线可以如何概括？</w:t>
      </w:r>
    </w:p>
    <w:p>
      <w:r>
        <w:rPr>
          <w:rFonts w:ascii="等线(中文正文)" w:hAnsi="等线(中文正文)" w:cs="等线(中文正文)" w:eastAsia="等线(中文正文)"/>
          <w:b w:val="false"/>
          <w:i w:val="false"/>
          <w:sz w:val="20"/>
        </w:rPr>
        <w:t>发言人1 答：近期政策主线可以概括为两层基础设施同步推进，一是物理网络，涵盖水网、电网、互联网、通信网、地下管网和物联网，强调能源数据和物流协同；二是智能网络，围绕算力补贴、数据券、token贷款等推出支持措施，政策工具转向补贴算力使用和模型调用，有利于国产算力从项目驱动走向运营驱动。</w:t>
      </w:r>
    </w:p>
    <w:p>
      <w:r>
        <w:rPr>
          <w:rFonts w:ascii="等线(中文正文)" w:hAnsi="等线(中文正文)" w:cs="等线(中文正文)" w:eastAsia="等线(中文正文)"/>
          <w:b w:val="false"/>
          <w:i w:val="false"/>
          <w:sz w:val="20"/>
        </w:rPr>
        <w:t/>
      </w:r>
    </w:p>
    <w:p>
      <w:pPr>
        <w:pStyle w:val="ab"/>
      </w:pPr>
      <w:r>
        <w:t>发言人1 问：产业趋势中真正的增量需求来自哪些方面？</w:t>
      </w:r>
    </w:p>
    <w:p>
      <w:r>
        <w:rPr>
          <w:rFonts w:ascii="等线(中文正文)" w:hAnsi="等线(中文正文)" w:cs="等线(中文正文)" w:eastAsia="等线(中文正文)"/>
          <w:b w:val="false"/>
          <w:i w:val="false"/>
          <w:sz w:val="20"/>
        </w:rPr>
        <w:t>发言人1 答：真正的产业增量需求体现在三个方面：一是推理规模化，随着模型调用成本下降，AI嵌入日常工作，token需求增长迅速；二是需求多样化，AI模型在药物研发、材料发现等领域应用，调用品质高，任务链条长，愿意为生产率改善付费；三是算力分布变化，随着模型效率提高，推理从数据中心向边缘节点和终端设备扩散，形成中心训练与边缘实时响应的分层架构，对应的投资机会扩散到光互联存储、液冷电源、边缘芯片和单车硬件等方面。</w:t>
      </w:r>
    </w:p>
    <w:p>
      <w:r>
        <w:rPr>
          <w:rFonts w:ascii="等线(中文正文)" w:hAnsi="等线(中文正文)" w:cs="等线(中文正文)" w:eastAsia="等线(中文正文)"/>
          <w:b w:val="false"/>
          <w:i w:val="false"/>
          <w:sz w:val="20"/>
        </w:rPr>
        <w:t/>
      </w:r>
    </w:p>
    <w:p>
      <w:pPr>
        <w:pStyle w:val="ab"/>
      </w:pPr>
      <w:r>
        <w:t>发言人1 问：对于海外和国内产业链有何不同之处，以及如何配置相关投资？</w:t>
      </w:r>
    </w:p>
    <w:p>
      <w:r>
        <w:rPr>
          <w:rFonts w:ascii="等线(中文正文)" w:hAnsi="等线(中文正文)" w:cs="等线(中文正文)" w:eastAsia="等线(中文正文)"/>
          <w:b w:val="false"/>
          <w:i w:val="false"/>
          <w:sz w:val="20"/>
        </w:rPr>
        <w:t>发言人1 答：海外链优势在于资本开支、客户订单和盈利兑现更直接，优先关注高速光模块、光通信器件、高端PCB存储交换网络和液冷；而国内链的核心在于自主可控和系统效率，重点观察国产AI芯片、先进封装、半导体设备材料、服务器互联和调度软件能否获得真实订单利用率和收入确认。配置上，中期继续关注有业绩支撑的AI基础设施和国产算力，短期保留非银金融、有色金属和创新药等独立景气方向，市场再平衡有助于组合增加收益来源并降低科技拥挤度。</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2026-08-27T14:13:08Z</dcterms:created>
  <dc:creator>Apache POI</dc:creator>
</cp:coreProperties>
</file>