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中金云会客厅：中美AI投资差异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AI投资 算力 资本开支 技术路线 算法优先 政府投资 资本市场 融资 盈利性 模型能力 专利申请 AI基建 AI开发支出 商业化 需求端 大模型 中国 AI 投资 开源模型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两位专家深入探讨了中美两国在人工智能（AI）领域投资的差异，特别关注了AI基础设施建设、资本开支和算力投资等方面。专家指出，尽管中国在AI开发支出上与美国存在差距，但通过优化技术路线和加速国产替代，中国有望缩小甚至超越美国的领先优势。讨论强调了中国AI产业的快速发展及其在全球市场中的影响力，包括模型能力的提升、硬件出口和软件出海等方面。专家建议投资者关注AI行业的长期发展，尤其是在技术进步和市场需求增长的推动下，AI硬件与软件的协同作用将为中国带来新的增长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中金财富云会客厅：宏观经济与科技行业深度解析</w:t>
      </w:r>
    </w:p>
    <w:p>
      <w:r>
        <w:rPr>
          <w:rFonts w:ascii="等线(中文正文)" w:hAnsi="等线(中文正文)" w:cs="等线(中文正文)" w:eastAsia="等线(中文正文)"/>
          <w:b w:val="false"/>
          <w:i w:val="false"/>
          <w:sz w:val="20"/>
        </w:rPr>
        <w:t>中金财富的中国50中国行云会客厅直播，聚焦宏观经济与科技行业趋势，邀请资深分析师分享洞见，讨论行业前景与投资策略，强调基本面分析与宏观视角的结合，为投资者提供专业指导。</w:t>
      </w:r>
    </w:p>
    <w:p>
      <w:r>
        <w:rPr>
          <w:rFonts w:ascii="等线(中文正文)" w:hAnsi="等线(中文正文)" w:cs="等线(中文正文)" w:eastAsia="等线(中文正文)"/>
          <w:b w:val="false"/>
          <w:i w:val="false"/>
          <w:sz w:val="20"/>
        </w:rPr>
        <w:t/>
      </w:r>
    </w:p>
    <w:p>
      <w:pPr>
        <w:pStyle w:val="ab"/>
        <w:numPr>
          <w:numId w:val="2"/>
        </w:numPr>
      </w:pPr>
      <w:r>
        <w:t>01:50 中美AI投资与技术路径差异分析</w:t>
      </w:r>
    </w:p>
    <w:p>
      <w:r>
        <w:rPr>
          <w:rFonts w:ascii="等线(中文正文)" w:hAnsi="等线(中文正文)" w:cs="等线(中文正文)" w:eastAsia="等线(中文正文)"/>
          <w:b w:val="false"/>
          <w:i w:val="false"/>
          <w:sz w:val="20"/>
        </w:rPr>
        <w:t>中美AI投资存在显著差距，美国在私人投资、融资及数据中心规模上远超中国。然而，中国通过算法优先和效率导向的技术路线，缩小了与美国在大模型能力上的差距。中国在AI人才和数据规模上具有优势，利用这些资源优化算法，减少对算力的依赖，实现了高效且风险较低的发展路径。AI产业链涵盖多个环节，资本开支主要涉及基础设施建设，中国选择的路径强调模型应用落地，与美国规模优先的策略形成对比。</w:t>
      </w:r>
    </w:p>
    <w:p>
      <w:r>
        <w:rPr>
          <w:rFonts w:ascii="等线(中文正文)" w:hAnsi="等线(中文正文)" w:cs="等线(中文正文)" w:eastAsia="等线(中文正文)"/>
          <w:b w:val="false"/>
          <w:i w:val="false"/>
          <w:sz w:val="20"/>
        </w:rPr>
        <w:t/>
      </w:r>
    </w:p>
    <w:p>
      <w:pPr>
        <w:pStyle w:val="ab"/>
        <w:numPr>
          <w:numId w:val="3"/>
        </w:numPr>
      </w:pPr>
      <w:r>
        <w:t>06:54 AI基建投资：数据中心与算力设备为核心</w:t>
      </w:r>
    </w:p>
    <w:p>
      <w:r>
        <w:rPr>
          <w:rFonts w:ascii="等线(中文正文)" w:hAnsi="等线(中文正文)" w:cs="等线(中文正文)" w:eastAsia="等线(中文正文)"/>
          <w:b w:val="false"/>
          <w:i w:val="false"/>
          <w:sz w:val="20"/>
        </w:rPr>
        <w:t>对话围绕AI基建投资展开，指出数据中心投资涵盖厂房土建、电力设备及IT设备等，其中IT设备如计算芯片、网络设备为核心。AI基建投资模式多样化，包括重资产自建与轻资产算力租赁，但主要方向仍聚焦于IT与电力设备。此外，AI基建之上还涉及模型层、软件框架及应用服务，但这些已超出基建范畴。</w:t>
      </w:r>
    </w:p>
    <w:p>
      <w:r>
        <w:rPr>
          <w:rFonts w:ascii="等线(中文正文)" w:hAnsi="等线(中文正文)" w:cs="等线(中文正文)" w:eastAsia="等线(中文正文)"/>
          <w:b w:val="false"/>
          <w:i w:val="false"/>
          <w:sz w:val="20"/>
        </w:rPr>
        <w:t/>
      </w:r>
    </w:p>
    <w:p>
      <w:pPr>
        <w:pStyle w:val="ab"/>
        <w:numPr>
          <w:numId w:val="4"/>
        </w:numPr>
      </w:pPr>
      <w:r>
        <w:t>10:38 中美AI投资差异与资本市场成熟度分析</w:t>
      </w:r>
    </w:p>
    <w:p>
      <w:r>
        <w:rPr>
          <w:rFonts w:ascii="等线(中文正文)" w:hAnsi="等线(中文正文)" w:cs="等线(中文正文)" w:eastAsia="等线(中文正文)"/>
          <w:b w:val="false"/>
          <w:i w:val="false"/>
          <w:sz w:val="20"/>
        </w:rPr>
        <w:t>对话探讨了中美AI投资的差异，指出中国私人AI投资量远低于美国，但政府投资占比高。即便加上政府投资，中国与美国的AI投资差距仍显著，这不仅因为政府投资统计不足，更因商业模式、技术路线选择及资本市场成熟度的差异。美国多层次资本市场的发达助力AI企业融资，而中国虽经历市场调整，但2025年后市场活跃度提升，投资更注重项目落地与盈利性。</w:t>
      </w:r>
    </w:p>
    <w:p>
      <w:r>
        <w:rPr>
          <w:rFonts w:ascii="等线(中文正文)" w:hAnsi="等线(中文正文)" w:cs="等线(中文正文)" w:eastAsia="等线(中文正文)"/>
          <w:b w:val="false"/>
          <w:i w:val="false"/>
          <w:sz w:val="20"/>
        </w:rPr>
        <w:t/>
      </w:r>
    </w:p>
    <w:p>
      <w:pPr>
        <w:pStyle w:val="ab"/>
        <w:numPr>
          <w:numId w:val="5"/>
        </w:numPr>
      </w:pPr>
      <w:r>
        <w:t>14:37 中美AI投资差异：时间问题还是市场本质不同？</w:t>
      </w:r>
    </w:p>
    <w:p>
      <w:r>
        <w:rPr>
          <w:rFonts w:ascii="等线(中文正文)" w:hAnsi="等线(中文正文)" w:cs="等线(中文正文)" w:eastAsia="等线(中文正文)"/>
          <w:b w:val="false"/>
          <w:i w:val="false"/>
          <w:sz w:val="20"/>
        </w:rPr>
        <w:t>讨论了中美AI领域投资差异，认为当前差距主要源于时间因素及芯片采购限制，而非市场土壤本质不同。中国AI人才与模型发展态势向好，主权AI投资坚定，市场需求增长，未来投资前景乐观，预计中国AI基建投资有巨大潜力。</w:t>
      </w:r>
    </w:p>
    <w:p>
      <w:r>
        <w:rPr>
          <w:rFonts w:ascii="等线(中文正文)" w:hAnsi="等线(中文正文)" w:cs="等线(中文正文)" w:eastAsia="等线(中文正文)"/>
          <w:b w:val="false"/>
          <w:i w:val="false"/>
          <w:sz w:val="20"/>
        </w:rPr>
        <w:t/>
      </w:r>
    </w:p>
    <w:p>
      <w:pPr>
        <w:pStyle w:val="ab"/>
        <w:numPr>
          <w:numId w:val="6"/>
        </w:numPr>
      </w:pPr>
      <w:r>
        <w:t>20:18 AI基建资本开支激增，产业健康运行无泡沫</w:t>
      </w:r>
    </w:p>
    <w:p>
      <w:r>
        <w:rPr>
          <w:rFonts w:ascii="等线(中文正文)" w:hAnsi="等线(中文正文)" w:cs="等线(中文正文)" w:eastAsia="等线(中文正文)"/>
          <w:b w:val="false"/>
          <w:i w:val="false"/>
          <w:sz w:val="20"/>
        </w:rPr>
        <w:t>对话探讨了北美云厂商2026年资本开支激增现象，指出AI基建投资已从模型预训练转向需求主导，伴随算力成本下降和API价格降低，形成正向飞轮效应，表明产业处于健康运行状态，未达市场担忧的见顶时刻。</w:t>
      </w:r>
    </w:p>
    <w:p>
      <w:r>
        <w:rPr>
          <w:rFonts w:ascii="等线(中文正文)" w:hAnsi="等线(中文正文)" w:cs="等线(中文正文)" w:eastAsia="等线(中文正文)"/>
          <w:b w:val="false"/>
          <w:i w:val="false"/>
          <w:sz w:val="20"/>
        </w:rPr>
        <w:t/>
      </w:r>
    </w:p>
    <w:p>
      <w:pPr>
        <w:pStyle w:val="ab"/>
        <w:numPr>
          <w:numId w:val="7"/>
        </w:numPr>
      </w:pPr>
      <w:r>
        <w:t>23:37 中美AI投资差距解析：电力设施非主因</w:t>
      </w:r>
    </w:p>
    <w:p>
      <w:r>
        <w:rPr>
          <w:rFonts w:ascii="等线(中文正文)" w:hAnsi="等线(中文正文)" w:cs="等线(中文正文)" w:eastAsia="等线(中文正文)"/>
          <w:b w:val="false"/>
          <w:i w:val="false"/>
          <w:sz w:val="20"/>
        </w:rPr>
        <w:t>对话探讨了中美AI投资差距的主要原因，指出尽管中国在发电能力和算电协同方面具有优势，但电力设施投资并非解释中美AI投资差距的关键因素。分析显示，商业模式、技术路线及资本市场差异是更核心的原因。中国未来电力设施建设和算力协同投资仍将是重要方向，特别是在绿色电力和数据中心用电比例提升方面。</w:t>
      </w:r>
    </w:p>
    <w:p>
      <w:r>
        <w:rPr>
          <w:rFonts w:ascii="等线(中文正文)" w:hAnsi="等线(中文正文)" w:cs="等线(中文正文)" w:eastAsia="等线(中文正文)"/>
          <w:b w:val="false"/>
          <w:i w:val="false"/>
          <w:sz w:val="20"/>
        </w:rPr>
        <w:t/>
      </w:r>
    </w:p>
    <w:p>
      <w:pPr>
        <w:pStyle w:val="ab"/>
        <w:numPr>
          <w:numId w:val="8"/>
        </w:numPr>
      </w:pPr>
      <w:r>
        <w:t>27:23 国产算力芯片的发展与挑战</w:t>
      </w:r>
    </w:p>
    <w:p>
      <w:r>
        <w:rPr>
          <w:rFonts w:ascii="等线(中文正文)" w:hAnsi="等线(中文正文)" w:cs="等线(中文正文)" w:eastAsia="等线(中文正文)"/>
          <w:b w:val="false"/>
          <w:i w:val="false"/>
          <w:sz w:val="20"/>
        </w:rPr>
        <w:t>对话深入探讨了过去两年中国国产算力芯片的显著进步，特别是在单卡性能和超节点能力方面。得益于外部限制和技术需求的双重推动，中国AI算力芯片企业抓住了发展窗口期，实现了与海外先进水平的对标或差距缩小。从芯片到系统级应用，国产算力芯片展现出强劲的增长势头，未来将更注重系统级应用的衡量，展现出广阔的发展前景。</w:t>
      </w:r>
    </w:p>
    <w:p>
      <w:r>
        <w:rPr>
          <w:rFonts w:ascii="等线(中文正文)" w:hAnsi="等线(中文正文)" w:cs="等线(中文正文)" w:eastAsia="等线(中文正文)"/>
          <w:b w:val="false"/>
          <w:i w:val="false"/>
          <w:sz w:val="20"/>
        </w:rPr>
        <w:t/>
      </w:r>
    </w:p>
    <w:p>
      <w:pPr>
        <w:pStyle w:val="ab"/>
        <w:numPr>
          <w:numId w:val="9"/>
        </w:numPr>
      </w:pPr>
      <w:r>
        <w:t>32:21 国产算力芯片供应链挑战与未来展望</w:t>
      </w:r>
    </w:p>
    <w:p>
      <w:r>
        <w:rPr>
          <w:rFonts w:ascii="等线(中文正文)" w:hAnsi="等线(中文正文)" w:cs="等线(中文正文)" w:eastAsia="等线(中文正文)"/>
          <w:b w:val="false"/>
          <w:i w:val="false"/>
          <w:sz w:val="20"/>
        </w:rPr>
        <w:t>对话讨论了国产算力芯片在供应链端面临的挑战，包括高端半导体制造产能爬坡、先进封装需求以及存储芯片配套问题。尽管短期内难以解决，但随着国内存储巨头扩产和业务精进，预计未来2-3年内核心供应瓶颈将逐步突破，为国产AI芯片发展带来正向贡献。</w:t>
      </w:r>
    </w:p>
    <w:p>
      <w:r>
        <w:rPr>
          <w:rFonts w:ascii="等线(中文正文)" w:hAnsi="等线(中文正文)" w:cs="等线(中文正文)" w:eastAsia="等线(中文正文)"/>
          <w:b w:val="false"/>
          <w:i w:val="false"/>
          <w:sz w:val="20"/>
        </w:rPr>
        <w:t/>
      </w:r>
    </w:p>
    <w:p>
      <w:pPr>
        <w:pStyle w:val="ab"/>
        <w:numPr>
          <w:numId w:val="10"/>
        </w:numPr>
      </w:pPr>
      <w:r>
        <w:t>34:49 开源模型盈利能力与资本开支决策分析</w:t>
      </w:r>
    </w:p>
    <w:p>
      <w:r>
        <w:rPr>
          <w:rFonts w:ascii="等线(中文正文)" w:hAnsi="等线(中文正文)" w:cs="等线(中文正文)" w:eastAsia="等线(中文正文)"/>
          <w:b w:val="false"/>
          <w:i w:val="false"/>
          <w:sz w:val="20"/>
        </w:rPr>
        <w:t>讨论了开源模型毛利率低的认知误区，指出通过AI inside优化和基础设施改进，开源模型成本可显著降低，盈利能力优于预期。同时，开源模型与闭源模型服务不同用户需求，交互强度差异影响成本曲线。投资决策不应仅基于短期盈利能力，而应考虑AI行业长期发展趋势。</w:t>
      </w:r>
    </w:p>
    <w:p>
      <w:r>
        <w:rPr>
          <w:rFonts w:ascii="等线(中文正文)" w:hAnsi="等线(中文正文)" w:cs="等线(中文正文)" w:eastAsia="等线(中文正文)"/>
          <w:b w:val="false"/>
          <w:i w:val="false"/>
          <w:sz w:val="20"/>
        </w:rPr>
        <w:t/>
      </w:r>
    </w:p>
    <w:p>
      <w:pPr>
        <w:pStyle w:val="ab"/>
        <w:numPr>
          <w:numId w:val="11"/>
        </w:numPr>
      </w:pPr>
      <w:r>
        <w:t>40:11 中国AI应用与算力投资的未来破局点</w:t>
      </w:r>
    </w:p>
    <w:p>
      <w:r>
        <w:rPr>
          <w:rFonts w:ascii="等线(中文正文)" w:hAnsi="等线(中文正文)" w:cs="等线(中文正文)" w:eastAsia="等线(中文正文)"/>
          <w:b w:val="false"/>
          <w:i w:val="false"/>
          <w:sz w:val="20"/>
        </w:rPr>
        <w:t>中国AI应用端活跃，83%企业使用生成式AI，月度下载量超2.4亿，日活同比增长220%，用户基础良好。企业正将广泛应用转化为商业化变现能力，大模型推动用户增值订阅服务，API调用需求指数级增长，盈利能力强，为未来算力投资与开发支出提供需求基础。</w:t>
      </w:r>
    </w:p>
    <w:p>
      <w:r>
        <w:rPr>
          <w:rFonts w:ascii="等线(中文正文)" w:hAnsi="等线(中文正文)" w:cs="等线(中文正文)" w:eastAsia="等线(中文正文)"/>
          <w:b w:val="false"/>
          <w:i w:val="false"/>
          <w:sz w:val="20"/>
        </w:rPr>
        <w:t/>
      </w:r>
    </w:p>
    <w:p>
      <w:pPr>
        <w:pStyle w:val="ab"/>
        <w:numPr>
          <w:numId w:val="12"/>
        </w:numPr>
      </w:pPr>
      <w:r>
        <w:t>42:41 中国AI商业化拐点：B端应用与成本优化成关键</w:t>
      </w:r>
    </w:p>
    <w:p>
      <w:r>
        <w:rPr>
          <w:rFonts w:ascii="等线(中文正文)" w:hAnsi="等线(中文正文)" w:cs="等线(中文正文)" w:eastAsia="等线(中文正文)"/>
          <w:b w:val="false"/>
          <w:i w:val="false"/>
          <w:sz w:val="20"/>
        </w:rPr>
        <w:t>讨论了中国AI商业化进程，指出尽管C端付费意愿较弱，但B端应用和API服务展现出积极信号，成为突破点。同时，中国企业在推理成本优化方面展现出更大决心，为AI市场正向循环提供良好基础。</w:t>
      </w:r>
    </w:p>
    <w:p>
      <w:r>
        <w:rPr>
          <w:rFonts w:ascii="等线(中文正文)" w:hAnsi="等线(中文正文)" w:cs="等线(中文正文)" w:eastAsia="等线(中文正文)"/>
          <w:b w:val="false"/>
          <w:i w:val="false"/>
          <w:sz w:val="20"/>
        </w:rPr>
        <w:t/>
      </w:r>
    </w:p>
    <w:p>
      <w:pPr>
        <w:pStyle w:val="ab"/>
        <w:numPr>
          <w:numId w:val="13"/>
        </w:numPr>
      </w:pPr>
      <w:r>
        <w:t>45:20 AI产业链出口与算力投资新动力</w:t>
      </w:r>
    </w:p>
    <w:p>
      <w:r>
        <w:rPr>
          <w:rFonts w:ascii="等线(中文正文)" w:hAnsi="等线(中文正文)" w:cs="等线(中文正文)" w:eastAsia="等线(中文正文)"/>
          <w:b w:val="false"/>
          <w:i w:val="false"/>
          <w:sz w:val="20"/>
        </w:rPr>
        <w:t>对话探讨了中国AI产业链的出口情况，特别是硬件如光模块、服务器处理单元及存储芯片的出口显著增长，间接和错位出口现象明显，带动了国内算力投资。同时，软件和服务如大模型的出海，增强了中国在全球市场的竞争力，预示着服务出口将比商品出口更具持续性，共同构成了拉动国内算力投资的新动力。</w:t>
      </w:r>
    </w:p>
    <w:p>
      <w:r>
        <w:rPr>
          <w:rFonts w:ascii="等线(中文正文)" w:hAnsi="等线(中文正文)" w:cs="等线(中文正文)" w:eastAsia="等线(中文正文)"/>
          <w:b w:val="false"/>
          <w:i w:val="false"/>
          <w:sz w:val="20"/>
        </w:rPr>
        <w:t/>
      </w:r>
    </w:p>
    <w:p>
      <w:pPr>
        <w:pStyle w:val="ab"/>
        <w:numPr>
          <w:numId w:val="14"/>
        </w:numPr>
      </w:pPr>
      <w:r>
        <w:t>49:12 端侧AI与云端AI算力硬件的相互促进关系探讨</w:t>
      </w:r>
    </w:p>
    <w:p>
      <w:r>
        <w:rPr>
          <w:rFonts w:ascii="等线(中文正文)" w:hAnsi="等线(中文正文)" w:cs="等线(中文正文)" w:eastAsia="等线(中文正文)"/>
          <w:b w:val="false"/>
          <w:i w:val="false"/>
          <w:sz w:val="20"/>
        </w:rPr>
        <w:t>讨论了端侧AI与云端AI算力硬件之间的关系，指出两者并非完全替代而是相互促进。端侧AI满足低时延和隐私需求，而云端AI通过模型蒸馏支持端侧应用。端侧AI的用户数据反馈又促进云端模型能力提升，形成飞轮效应。未来，端侧与云端AI将共同推动技术进步和商业价值增长。</w:t>
      </w:r>
    </w:p>
    <w:p>
      <w:r>
        <w:rPr>
          <w:rFonts w:ascii="等线(中文正文)" w:hAnsi="等线(中文正文)" w:cs="等线(中文正文)" w:eastAsia="等线(中文正文)"/>
          <w:b w:val="false"/>
          <w:i w:val="false"/>
          <w:sz w:val="20"/>
        </w:rPr>
        <w:t/>
      </w:r>
    </w:p>
    <w:p>
      <w:pPr>
        <w:pStyle w:val="ab"/>
        <w:numPr>
          <w:numId w:val="15"/>
        </w:numPr>
      </w:pPr>
      <w:r>
        <w:t>53:09 软硬件协同推动国产算力芯片发展</w:t>
      </w:r>
    </w:p>
    <w:p>
      <w:r>
        <w:rPr>
          <w:rFonts w:ascii="等线(中文正文)" w:hAnsi="等线(中文正文)" w:cs="等线(中文正文)" w:eastAsia="等线(中文正文)"/>
          <w:b w:val="false"/>
          <w:i w:val="false"/>
          <w:sz w:val="20"/>
        </w:rPr>
        <w:t>对话强调了软硬件协同对国产算力芯片发展的关键作用，指出国产大模型与国产芯片的适配正为国产算力建设铺路，有望复制英伟达的成功模式，从闭卷考试走向开卷考试，实现更快成长。</w:t>
      </w:r>
    </w:p>
    <w:p>
      <w:r>
        <w:rPr>
          <w:rFonts w:ascii="等线(中文正文)" w:hAnsi="等线(中文正文)" w:cs="等线(中文正文)" w:eastAsia="等线(中文正文)"/>
          <w:b w:val="false"/>
          <w:i w:val="false"/>
          <w:sz w:val="20"/>
        </w:rPr>
        <w:t/>
      </w:r>
    </w:p>
    <w:p>
      <w:pPr>
        <w:pStyle w:val="ab"/>
        <w:numPr>
          <w:numId w:val="16"/>
        </w:numPr>
      </w:pPr>
      <w:r>
        <w:t>56:18 中国AI算力市场：推理需求引领国产芯片增长</w:t>
      </w:r>
    </w:p>
    <w:p>
      <w:r>
        <w:rPr>
          <w:rFonts w:ascii="等线(中文正文)" w:hAnsi="等线(中文正文)" w:cs="等线(中文正文)" w:eastAsia="等线(中文正文)"/>
          <w:b w:val="false"/>
          <w:i w:val="false"/>
          <w:sz w:val="20"/>
        </w:rPr>
        <w:t>对话探讨了中国AI算力市场的发展趋势，指出推理算力需求已成为国产AI硬件增长的核心驱动力，尽管训练算力仍存在与进口芯片的差距。中国AI资本开支正经历从规模驱动到效率驱动的转变，强调利润转化率、收入兑现性和技术效率。2024年以来，中国AI资本支出增速显著，应用广度和硬件模型出海为行业带来新机遇，算力国产替代加速，国产加速卡市场份额已达41%。</w:t>
      </w:r>
    </w:p>
    <w:p>
      <w:r>
        <w:rPr>
          <w:rFonts w:ascii="等线(中文正文)" w:hAnsi="等线(中文正文)" w:cs="等线(中文正文)" w:eastAsia="等线(中文正文)"/>
          <w:b w:val="false"/>
          <w:i w:val="false"/>
          <w:sz w:val="20"/>
        </w:rPr>
        <w:t/>
      </w:r>
    </w:p>
    <w:p>
      <w:pPr>
        <w:pStyle w:val="ab"/>
        <w:numPr>
          <w:numId w:val="17"/>
        </w:numPr>
      </w:pPr>
      <w:r>
        <w:t>01:01:58 2026-2027年AI硬件产业将维持稳健高位运行</w:t>
      </w:r>
    </w:p>
    <w:p>
      <w:r>
        <w:rPr>
          <w:rFonts w:ascii="等线(中文正文)" w:hAnsi="等线(中文正文)" w:cs="等线(中文正文)" w:eastAsia="等线(中文正文)"/>
          <w:b w:val="false"/>
          <w:i w:val="false"/>
          <w:sz w:val="20"/>
        </w:rPr>
        <w:t>对话围绕2026至2027年中国AI硬件产业的发展趋势展开，核心观点认为该行业将保持在健康且高位的运行状态。尽管资本投资和模型收入已达数百亿规模，但行业并未出现泡沫化迹象，供需双方沟通顺畅，避免了库存堆积和价格崩溃的风险。未来，随着应用端需求变化及更强算力硬件的投入，预计AI基础设施投资将持续增长，尤其在企业AI和大规模预训练模型方面，将推动行业进一步发展。</w:t>
      </w:r>
    </w:p>
    <w:p>
      <w:r>
        <w:rPr>
          <w:rFonts w:ascii="等线(中文正文)" w:hAnsi="等线(中文正文)" w:cs="等线(中文正文)" w:eastAsia="等线(中文正文)"/>
          <w:b w:val="false"/>
          <w:i w:val="false"/>
          <w:sz w:val="20"/>
        </w:rPr>
        <w:t/>
      </w:r>
    </w:p>
    <w:p>
      <w:pPr>
        <w:pStyle w:val="ab"/>
        <w:numPr>
          <w:numId w:val="18"/>
        </w:numPr>
      </w:pPr>
      <w:r>
        <w:t>01:06:13 AI基建景气度观察：算力价格与应用需求指标</w:t>
      </w:r>
    </w:p>
    <w:p>
      <w:r>
        <w:rPr>
          <w:rFonts w:ascii="等线(中文正文)" w:hAnsi="等线(中文正文)" w:cs="等线(中文正文)" w:eastAsia="等线(中文正文)"/>
          <w:b w:val="false"/>
          <w:i w:val="false"/>
          <w:sz w:val="20"/>
        </w:rPr>
        <w:t>讨论了普通人如何通过跟踪算力价格和应用需求等指标来判断AI基建的景气度，强调了云大厂算力租赁价格、API调用量、国产芯片交付量及AI企业利润率等作为核心观察指标的重要性。</w:t>
      </w:r>
    </w:p>
    <w:p>
      <w:r>
        <w:rPr>
          <w:rFonts w:ascii="等线(中文正文)" w:hAnsi="等线(中文正文)" w:cs="等线(中文正文)" w:eastAsia="等线(中文正文)"/>
          <w:b w:val="false"/>
          <w:i w:val="false"/>
          <w:sz w:val="20"/>
        </w:rPr>
        <w:t/>
      </w:r>
    </w:p>
    <w:p>
      <w:pPr>
        <w:pStyle w:val="ab"/>
        <w:numPr>
          <w:numId w:val="19"/>
        </w:numPr>
      </w:pPr>
      <w:r>
        <w:t>01:09:14 产业链视角下的AI泡沫与周期分析</w:t>
      </w:r>
    </w:p>
    <w:p>
      <w:r>
        <w:rPr>
          <w:rFonts w:ascii="等线(中文正文)" w:hAnsi="等线(中文正文)" w:cs="等线(中文正文)" w:eastAsia="等线(中文正文)"/>
          <w:b w:val="false"/>
          <w:i w:val="false"/>
          <w:sz w:val="20"/>
        </w:rPr>
        <w:t>讨论了AI硬件泡沫的形成原因，指出供应链不畅导致需求放大，以及长周期视角下AI技术革命的持续潜力，建议投资者关注产业链上下游的匹配度和长期增长趋势。</w:t>
      </w:r>
    </w:p>
    <w:p>
      <w:r>
        <w:rPr>
          <w:rFonts w:ascii="等线(中文正文)" w:hAnsi="等线(中文正文)" w:cs="等线(中文正文)" w:eastAsia="等线(中文正文)"/>
          <w:b w:val="false"/>
          <w:i w:val="false"/>
          <w:sz w:val="20"/>
        </w:rPr>
        <w:t/>
      </w:r>
    </w:p>
    <w:p>
      <w:pPr>
        <w:pStyle w:val="a7"/>
      </w:pPr>
      <w:r>
        <w:t>发言总结</w:t>
      </w:r>
    </w:p>
    <w:p>
      <w:pPr>
        <w:pStyle w:val="ab"/>
        <w:numPr>
          <w:numId w:val="20"/>
        </w:numPr>
      </w:pPr>
      <w:r>
        <w:t>发言人1</w:t>
      </w:r>
    </w:p>
    <w:p>
      <w:r>
        <w:rPr>
          <w:rFonts w:ascii="等线(中文正文)" w:hAnsi="等线(中文正文)" w:cs="等线(中文正文)" w:eastAsia="等线(中文正文)"/>
          <w:b w:val="false"/>
          <w:i w:val="false"/>
          <w:sz w:val="20"/>
        </w:rPr>
        <w:t>深入分析了产业链库存波动对半导体行业价格的影响及其行业周期性特点，强调了全链条角度分析行业风险和拐点的重要性。他从宏观角度讨论了经济周期、人口周期、金融周期和熊彼特周期，认为中国可能处于金融周期底部和人口周期下行阶段，暗示短期内经济波动。在AI投资框架下，他指出当前可能是技术周期的向上契机，强调了中国作为科技革命重要参与者的未来潜力，呼吁从长周期视角看待AI投资。
节目中，他通过中金财富的平台，与宏观经济分析师黄文静和科技硬件及半导体行业分析师陈乔生共同探讨了中国AI产业的现状与未来。他详细介绍了中金公司在AI领域的研究，特别强调了中美AI投资差异、算力需求增长、国产算力芯片发展以及AI硬件市场投资机会。讨论指出，尽管中国在AI投资总额上与美国存在差距，但通过技术发展与应用落地的迅速推进，中国正缩小差距，并通过政府和企业级需求展示增长潜力。此外，他强调了国产算力芯片研发和软硬件协同创新的重要性，以及算法优化和模型适配对提升算力效率的影响。</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问：中美AI投资的差异巨大，但模型能力差距却在快速收敛，这是算力神话被打破还是中国有其他方式应对？</w:t>
      </w:r>
    </w:p>
    <w:p>
      <w:r>
        <w:rPr>
          <w:rFonts w:ascii="等线(中文正文)" w:hAnsi="等线(中文正文)" w:cs="等线(中文正文)" w:eastAsia="等线(中文正文)"/>
          <w:b w:val="false"/>
          <w:i w:val="false"/>
          <w:sz w:val="20"/>
        </w:rPr>
        <w:t>发言人1 答：我们认为一个重要原因是中美两国选择的技术路线不同。美国侧重规模优先、拼算力，导致开发支出巨大；而中国受限于算力，选择了算法优先、效率优先的技术路径，更多依赖人才优势和算法架构的优化来弥补算力不足。</w:t>
      </w:r>
    </w:p>
    <w:p>
      <w:r>
        <w:rPr>
          <w:rFonts w:ascii="等线(中文正文)" w:hAnsi="等线(中文正文)" w:cs="等线(中文正文)" w:eastAsia="等线(中文正文)"/>
          <w:b w:val="false"/>
          <w:i w:val="false"/>
          <w:sz w:val="20"/>
        </w:rPr>
        <w:t/>
      </w:r>
    </w:p>
    <w:p>
      <w:pPr>
        <w:pStyle w:val="ab"/>
      </w:pPr>
      <w:r>
        <w:t>发言人1 问：中美AI企业融资家数差异悬殊，主要原因是什么？</w:t>
      </w:r>
    </w:p>
    <w:p>
      <w:r>
        <w:rPr>
          <w:rFonts w:ascii="等线(中文正文)" w:hAnsi="等线(中文正文)" w:cs="等线(中文正文)" w:eastAsia="等线(中文正文)"/>
          <w:b w:val="false"/>
          <w:i w:val="false"/>
          <w:sz w:val="20"/>
        </w:rPr>
        <w:t>发言人1 答：主要原因是美国多层次资本市场更为发达，AI企业可以利用GPU等资产进行贷款抵押，并且在未实现大规模盈利的情况下也能获得较多融资。而中国虽然政府投资基金占比越来越高，但一级股权市场在2021年以来经历了结构性调整，不过自2026年以来，一级市场募投管退情况逐渐好转，说明中国的资本市场活跃度和热度在提升，但在项目选择时更注重落地性和盈利性，从而导致投资规模相对较小。</w:t>
      </w:r>
    </w:p>
    <w:p>
      <w:r>
        <w:rPr>
          <w:rFonts w:ascii="等线(中文正文)" w:hAnsi="等线(中文正文)" w:cs="等线(中文正文)" w:eastAsia="等线(中文正文)"/>
          <w:b w:val="false"/>
          <w:i w:val="false"/>
          <w:sz w:val="20"/>
        </w:rPr>
        <w:t/>
      </w:r>
    </w:p>
    <w:p>
      <w:pPr>
        <w:pStyle w:val="ab"/>
      </w:pPr>
      <w:r>
        <w:t>发言人1 问：AI基建投资包含哪些环节，对应产业链的哪个部分？</w:t>
      </w:r>
    </w:p>
    <w:p>
      <w:r>
        <w:rPr>
          <w:rFonts w:ascii="等线(中文正文)" w:hAnsi="等线(中文正文)" w:cs="等线(中文正文)" w:eastAsia="等线(中文正文)"/>
          <w:b w:val="false"/>
          <w:i w:val="false"/>
          <w:sz w:val="20"/>
        </w:rPr>
        <w:t>发言人1 答：AI基建投资主要对应数据中心的投资，其中包含厂房土建、服务器、机房IT设备、电力设施以及不间断电源等基础设施。具体到资本开支层面，重点在于计算设备（如服务器、CPU、GPU、存储芯片）、网络设备（交换机、光互联设备及其内部的交换芯片、光模块等）以及电力设备。</w:t>
      </w:r>
    </w:p>
    <w:p>
      <w:r>
        <w:rPr>
          <w:rFonts w:ascii="等线(中文正文)" w:hAnsi="等线(中文正文)" w:cs="等线(中文正文)" w:eastAsia="等线(中文正文)"/>
          <w:b w:val="false"/>
          <w:i w:val="false"/>
          <w:sz w:val="20"/>
        </w:rPr>
        <w:t/>
      </w:r>
    </w:p>
    <w:p>
      <w:pPr>
        <w:pStyle w:val="ab"/>
      </w:pPr>
      <w:r>
        <w:t>发言人1 问：是否因为统计口径问题低估了中国的AI投入体量？</w:t>
      </w:r>
    </w:p>
    <w:p>
      <w:r>
        <w:rPr>
          <w:rFonts w:ascii="等线(中文正文)" w:hAnsi="等线(中文正文)" w:cs="等线(中文正文)" w:eastAsia="等线(中文正文)"/>
          <w:b w:val="false"/>
          <w:i w:val="false"/>
          <w:sz w:val="20"/>
        </w:rPr>
        <w:t>发言人1 答：确实存在统计口径的问题。斯坦福报告中仅统计了私人VC和PE投资，未包含政府投资。但即便加上政府主导的投资，中国与美国的差距依然较大，这更多反映了商业模式、技术路线选择以及资本市场活跃度和成熟度的不同。</w:t>
      </w:r>
    </w:p>
    <w:p>
      <w:r>
        <w:rPr>
          <w:rFonts w:ascii="等线(中文正文)" w:hAnsi="等线(中文正文)" w:cs="等线(中文正文)" w:eastAsia="等线(中文正文)"/>
          <w:b w:val="false"/>
          <w:i w:val="false"/>
          <w:sz w:val="20"/>
        </w:rPr>
        <w:t/>
      </w:r>
    </w:p>
    <w:p>
      <w:pPr>
        <w:pStyle w:val="ab"/>
      </w:pPr>
      <w:r>
        <w:t>发言人1 问：现在中美在AI基建的投资金额上存在较大差距，您认为背后的核心原因是什么？</w:t>
      </w:r>
    </w:p>
    <w:p>
      <w:r>
        <w:rPr>
          <w:rFonts w:ascii="等线(中文正文)" w:hAnsi="等线(中文正文)" w:cs="等线(中文正文)" w:eastAsia="等线(中文正文)"/>
          <w:b w:val="false"/>
          <w:i w:val="false"/>
          <w:sz w:val="20"/>
        </w:rPr>
        <w:t>发言人1 答：核心原因在于当前受到宏观因素限制，中国无法在短期内大量采购全球最先进的AI算力芯片和设备。</w:t>
      </w:r>
    </w:p>
    <w:p>
      <w:r>
        <w:rPr>
          <w:rFonts w:ascii="等线(中文正文)" w:hAnsi="等线(中文正文)" w:cs="等线(中文正文)" w:eastAsia="等线(中文正文)"/>
          <w:b w:val="false"/>
          <w:i w:val="false"/>
          <w:sz w:val="20"/>
        </w:rPr>
        <w:t/>
      </w:r>
    </w:p>
    <w:p>
      <w:pPr>
        <w:pStyle w:val="ab"/>
      </w:pPr>
      <w:r>
        <w:t>发言人1 问：从商业化角度看，中国市场的需求情况如何？</w:t>
      </w:r>
    </w:p>
    <w:p>
      <w:r>
        <w:rPr>
          <w:rFonts w:ascii="等线(中文正文)" w:hAnsi="等线(中文正文)" w:cs="等线(中文正文)" w:eastAsia="等线(中文正文)"/>
          <w:b w:val="false"/>
          <w:i w:val="false"/>
          <w:sz w:val="20"/>
        </w:rPr>
        <w:t>发言人1 答：目前中国在AI大模型领域虽然起步稍晚，但发展态势良好，尤其是在2025年初Deep Seek V3版本公开后，在全球范围内引起了较大反响。中国开源模型的地位不断提升，各模型厂商的迭代速度加快，调用量持续增长，商业化需求强劲。</w:t>
      </w:r>
    </w:p>
    <w:p>
      <w:r>
        <w:rPr>
          <w:rFonts w:ascii="等线(中文正文)" w:hAnsi="等线(中文正文)" w:cs="等线(中文正文)" w:eastAsia="等线(中文正文)"/>
          <w:b w:val="false"/>
          <w:i w:val="false"/>
          <w:sz w:val="20"/>
        </w:rPr>
        <w:t/>
      </w:r>
    </w:p>
    <w:p>
      <w:pPr>
        <w:pStyle w:val="ab"/>
      </w:pPr>
      <w:r>
        <w:t>发言人1 问：海外方面对于AI基础设施建设的投资趋势如何？</w:t>
      </w:r>
    </w:p>
    <w:p>
      <w:r>
        <w:rPr>
          <w:rFonts w:ascii="等线(中文正文)" w:hAnsi="等线(中文正文)" w:cs="等线(中文正文)" w:eastAsia="等线(中文正文)"/>
          <w:b w:val="false"/>
          <w:i w:val="false"/>
          <w:sz w:val="20"/>
        </w:rPr>
        <w:t>发言人1 答：海外，尤其是英伟达的收入中，有一部分来自超大规模云厂商和主权AI的投资。在中国，政府和政策对于AI基础设施建设的决心坚定，因此无论是商业化还是企业级需求，中国市场的需求都在不断增长，并且需求更加真实和明确。</w:t>
      </w:r>
    </w:p>
    <w:p>
      <w:r>
        <w:rPr>
          <w:rFonts w:ascii="等线(中文正文)" w:hAnsi="等线(中文正文)" w:cs="等线(中文正文)" w:eastAsia="等线(中文正文)"/>
          <w:b w:val="false"/>
          <w:i w:val="false"/>
          <w:sz w:val="20"/>
        </w:rPr>
        <w:t/>
      </w:r>
    </w:p>
    <w:p>
      <w:pPr>
        <w:pStyle w:val="ab"/>
      </w:pPr>
      <w:r>
        <w:t>发言人1 问：对于中美AI基建投资绝对值差异的看法是时间问题还是土壤问题？</w:t>
      </w:r>
    </w:p>
    <w:p>
      <w:r>
        <w:rPr>
          <w:rFonts w:ascii="等线(中文正文)" w:hAnsi="等线(中文正文)" w:cs="等线(中文正文)" w:eastAsia="等线(中文正文)"/>
          <w:b w:val="false"/>
          <w:i w:val="false"/>
          <w:sz w:val="20"/>
        </w:rPr>
        <w:t>发言人1 答：认为中美AI基建投资绝对值差异主要是时间问题，而非土壤问题。随着中国模型能力提升以及政府规划和实际算力消纳结果的改善，对中国AI基建投资的前景持乐观态度。</w:t>
      </w:r>
    </w:p>
    <w:p>
      <w:r>
        <w:rPr>
          <w:rFonts w:ascii="等线(中文正文)" w:hAnsi="等线(中文正文)" w:cs="等线(中文正文)" w:eastAsia="等线(中文正文)"/>
          <w:b w:val="false"/>
          <w:i w:val="false"/>
          <w:sz w:val="20"/>
        </w:rPr>
        <w:t/>
      </w:r>
    </w:p>
    <w:p>
      <w:pPr>
        <w:pStyle w:val="ab"/>
      </w:pPr>
      <w:r>
        <w:t>发言人1 问：如何看待北美四大云厂商资本开支同比增长超过70%，甚至上调全年指引的现象？</w:t>
      </w:r>
    </w:p>
    <w:p>
      <w:r>
        <w:rPr>
          <w:rFonts w:ascii="等线(中文正文)" w:hAnsi="等线(中文正文)" w:cs="等线(中文正文)" w:eastAsia="等线(中文正文)"/>
          <w:b w:val="false"/>
          <w:i w:val="false"/>
          <w:sz w:val="20"/>
        </w:rPr>
        <w:t>发言人1 答：这种越投越猛的现象表明AI基础设施建设目前还处于早期阶段，远未到市场担忧的见顶时刻。资本开支增长的背后驱动力已转变为需求主导，大量资本基于实际推理消耗进行投资，且投资回报率保持健康状态。</w:t>
      </w:r>
    </w:p>
    <w:p>
      <w:r>
        <w:rPr>
          <w:rFonts w:ascii="等线(中文正文)" w:hAnsi="等线(中文正文)" w:cs="等线(中文正文)" w:eastAsia="等线(中文正文)"/>
          <w:b w:val="false"/>
          <w:i w:val="false"/>
          <w:sz w:val="20"/>
        </w:rPr>
        <w:t/>
      </w:r>
    </w:p>
    <w:p>
      <w:pPr>
        <w:pStyle w:val="ab"/>
      </w:pPr>
      <w:r>
        <w:t>发言人1 问：电力基础设施投资是否能解释中美AI投资差距？</w:t>
      </w:r>
    </w:p>
    <w:p>
      <w:r>
        <w:rPr>
          <w:rFonts w:ascii="等线(中文正文)" w:hAnsi="等线(中文正文)" w:cs="等线(中文正文)" w:eastAsia="等线(中文正文)"/>
          <w:b w:val="false"/>
          <w:i w:val="false"/>
          <w:sz w:val="20"/>
        </w:rPr>
        <w:t>发言人1 答：虽然美国数据中心存量较多，但由于电力供给、接入及发电需求等因素，美国数据中心建设面临瓶颈，而中国在发电能力和电力基础设施上有明显优势。然而，电力设施不足以完全解释中美AI投资的巨大差异，其他因素如商业模式、技术路线和资本市场等更为重要。同时，中国的电力设施建设在未来仍将是重要的投资方向。</w:t>
      </w:r>
    </w:p>
    <w:p>
      <w:r>
        <w:rPr>
          <w:rFonts w:ascii="等线(中文正文)" w:hAnsi="等线(中文正文)" w:cs="等线(中文正文)" w:eastAsia="等线(中文正文)"/>
          <w:b w:val="false"/>
          <w:i w:val="false"/>
          <w:sz w:val="20"/>
        </w:rPr>
        <w:t/>
      </w:r>
    </w:p>
    <w:p>
      <w:pPr>
        <w:pStyle w:val="ab"/>
      </w:pPr>
      <w:r>
        <w:t>发言人1 问：国产算力芯片在过去几年的发展状况如何？</w:t>
      </w:r>
    </w:p>
    <w:p>
      <w:r>
        <w:rPr>
          <w:rFonts w:ascii="等线(中文正文)" w:hAnsi="等线(中文正文)" w:cs="等线(中文正文)" w:eastAsia="等线(中文正文)"/>
          <w:b w:val="false"/>
          <w:i w:val="false"/>
          <w:sz w:val="20"/>
        </w:rPr>
        <w:t>发言人1 答：过去2到3年内，随着外部进口限制以及国内模型需求的增长，国产算力芯片获得了良好的发展土壤。尤其是2024年以来，中国大部分AI算力芯片企业在单芯片能力上发生了显著迭代和提升，单卡性能与国际先进水平差距不断缩小，部分企业业绩呈现大幅度增长。</w:t>
      </w:r>
    </w:p>
    <w:p>
      <w:r>
        <w:rPr>
          <w:rFonts w:ascii="等线(中文正文)" w:hAnsi="等线(中文正文)" w:cs="等线(中文正文)" w:eastAsia="等线(中文正文)"/>
          <w:b w:val="false"/>
          <w:i w:val="false"/>
          <w:sz w:val="20"/>
        </w:rPr>
        <w:t/>
      </w:r>
    </w:p>
    <w:p>
      <w:pPr>
        <w:pStyle w:val="ab"/>
      </w:pPr>
      <w:r>
        <w:t>发言人1 问：国产算力芯片在过去两年的发展变化如何，尤其是在单卡性能和超节点能力方面？</w:t>
      </w:r>
    </w:p>
    <w:p>
      <w:r>
        <w:rPr>
          <w:rFonts w:ascii="等线(中文正文)" w:hAnsi="等线(中文正文)" w:cs="等线(中文正文)" w:eastAsia="等线(中文正文)"/>
          <w:b w:val="false"/>
          <w:i w:val="false"/>
          <w:sz w:val="20"/>
        </w:rPr>
        <w:t>发言人1 答：在过去两年里，国产算力芯片在单卡性能和超节点能力方面都取得了显著进展。从芯片公司的投资重点来看，大家正逐渐由关注芯片单卡的算力、存储带宽等指标转向系统级应用的衡量方式。目前，国产算力芯片在单卡性能和超节点能力上都取得了喜人的进步。</w:t>
      </w:r>
    </w:p>
    <w:p>
      <w:r>
        <w:rPr>
          <w:rFonts w:ascii="等线(中文正文)" w:hAnsi="等线(中文正文)" w:cs="等线(中文正文)" w:eastAsia="等线(中文正文)"/>
          <w:b w:val="false"/>
          <w:i w:val="false"/>
          <w:sz w:val="20"/>
        </w:rPr>
        <w:t/>
      </w:r>
    </w:p>
    <w:p>
      <w:pPr>
        <w:pStyle w:val="ab"/>
      </w:pPr>
      <w:r>
        <w:t>发言人1 问：国产算力芯片目前面临的供应链挑战有哪些？</w:t>
      </w:r>
    </w:p>
    <w:p>
      <w:r>
        <w:rPr>
          <w:rFonts w:ascii="等线(中文正文)" w:hAnsi="等线(中文正文)" w:cs="等线(中文正文)" w:eastAsia="等线(中文正文)"/>
          <w:b w:val="false"/>
          <w:i w:val="false"/>
          <w:sz w:val="20"/>
        </w:rPr>
        <w:t>发言人1 答：国产算力芯片在供应链上面临的主要困难包括全球供应链的不顺畅，尤其是在下单、封装、测试阶段遇到阻碍，以及高端半导体代工制造产能的爬坡问题和先进封装需求的产能扩张。此外，全球存储器缺货也影响了国产算力芯片，因为海外CSP大厂在全球范围内抢夺包括DRAM内存和配套HBM存储芯片在内的资源，这对国产算力芯片的配套芯片供应构成了挑战。</w:t>
      </w:r>
    </w:p>
    <w:p>
      <w:r>
        <w:rPr>
          <w:rFonts w:ascii="等线(中文正文)" w:hAnsi="等线(中文正文)" w:cs="等线(中文正文)" w:eastAsia="等线(中文正文)"/>
          <w:b w:val="false"/>
          <w:i w:val="false"/>
          <w:sz w:val="20"/>
        </w:rPr>
        <w:t/>
      </w:r>
    </w:p>
    <w:p>
      <w:pPr>
        <w:pStyle w:val="ab"/>
      </w:pPr>
      <w:r>
        <w:t>发言人1 问：开源模型的毛利率低是否会影响资本开支决策？</w:t>
      </w:r>
    </w:p>
    <w:p>
      <w:r>
        <w:rPr>
          <w:rFonts w:ascii="等线(中文正文)" w:hAnsi="等线(中文正文)" w:cs="等线(中文正文)" w:eastAsia="等线(中文正文)"/>
          <w:b w:val="false"/>
          <w:i w:val="false"/>
          <w:sz w:val="20"/>
        </w:rPr>
        <w:t>发言人1 答：根据我们研究报告的测算，开源模型的盈利能力其实相对乐观。虽然API价格较低，但通过AI inside优化和基础设施优化，开源模型能够在降低成本的同时提升模型的适配度和算力利用率，使单位token成本大幅下降，甚至可能达到闭源模型成本的几分之一或十分之一。因此，开源模型不一定存在毛利率偏低下的误区，其盈利能力不应过于悲观看待。</w:t>
      </w:r>
    </w:p>
    <w:p>
      <w:r>
        <w:rPr>
          <w:rFonts w:ascii="等线(中文正文)" w:hAnsi="等线(中文正文)" w:cs="等线(中文正文)" w:eastAsia="等线(中文正文)"/>
          <w:b w:val="false"/>
          <w:i w:val="false"/>
          <w:sz w:val="20"/>
        </w:rPr>
        <w:t/>
      </w:r>
    </w:p>
    <w:p>
      <w:pPr>
        <w:pStyle w:val="ab"/>
      </w:pPr>
      <w:r>
        <w:t>发言人1 问：开源模型是否有较好的盈利模式？</w:t>
      </w:r>
    </w:p>
    <w:p>
      <w:r>
        <w:rPr>
          <w:rFonts w:ascii="等线(中文正文)" w:hAnsi="等线(中文正文)" w:cs="等线(中文正文)" w:eastAsia="等线(中文正文)"/>
          <w:b w:val="false"/>
          <w:i w:val="false"/>
          <w:sz w:val="20"/>
        </w:rPr>
        <w:t>发言人1 答：开源模型如deep等公司，通过硬件快速折旧和十个月回本的定价策略，实际上拥有很好的盈利模式，可以实现五倍于硬件实际使用期的利润。此外，开源模型若能在庞大应用场景中实现用户基础和商业化变现，也能推动开发支出的增长。</w:t>
      </w:r>
    </w:p>
    <w:p>
      <w:r>
        <w:rPr>
          <w:rFonts w:ascii="等线(中文正文)" w:hAnsi="等线(中文正文)" w:cs="等线(中文正文)" w:eastAsia="等线(中文正文)"/>
          <w:b w:val="false"/>
          <w:i w:val="false"/>
          <w:sz w:val="20"/>
        </w:rPr>
        <w:t/>
      </w:r>
    </w:p>
    <w:p>
      <w:pPr>
        <w:pStyle w:val="ab"/>
      </w:pPr>
      <w:r>
        <w:t>发言人1 问：中国AI领域的破局点在哪里？</w:t>
      </w:r>
    </w:p>
    <w:p>
      <w:r>
        <w:rPr>
          <w:rFonts w:ascii="等线(中文正文)" w:hAnsi="等线(中文正文)" w:cs="等线(中文正文)" w:eastAsia="等线(中文正文)"/>
          <w:b w:val="false"/>
          <w:i w:val="false"/>
          <w:sz w:val="20"/>
        </w:rPr>
        <w:t>发言人1 答：中国AI领域的破局点在于庞大的应用场景和应用渗透率。中国企业对生成式AI的使用率较高，且AI APP下载量和日活跃用户数增长迅速。商业化方面，大模型开始尝试付费订阅等商业模式，预示着中国AI商业化拐点的到来。尤其是B端API的实际应用以及云服务提供商对API收入的乐观展望，将成为中国AI应用发展的关键突破点。</w:t>
      </w:r>
    </w:p>
    <w:p>
      <w:r>
        <w:rPr>
          <w:rFonts w:ascii="等线(中文正文)" w:hAnsi="等线(中文正文)" w:cs="等线(中文正文)" w:eastAsia="等线(中文正文)"/>
          <w:b w:val="false"/>
          <w:i w:val="false"/>
          <w:sz w:val="20"/>
        </w:rPr>
        <w:t/>
      </w:r>
    </w:p>
    <w:p>
      <w:pPr>
        <w:pStyle w:val="ab"/>
      </w:pPr>
      <w:r>
        <w:t>发言人1 问：在AI推理成本优化方面，中国企业是否付出了更多努力，并对未来中国AI应用市场有何影响？</w:t>
      </w:r>
    </w:p>
    <w:p>
      <w:r>
        <w:rPr>
          <w:rFonts w:ascii="等线(中文正文)" w:hAnsi="等线(中文正文)" w:cs="等线(中文正文)" w:eastAsia="等线(中文正文)"/>
          <w:b w:val="false"/>
          <w:i w:val="false"/>
          <w:sz w:val="20"/>
        </w:rPr>
        <w:t>发言人1 答：是的，中国企业确实付出了比海外更多的努力，并展现出更大的战略决心来优化推理成本。这将对未来中国AI应用市场的资本开支投入和正向商业循环起到促进作用，现在已看到一些积极变化的苗头，尤其是to b业务。但由于C端付费意愿相比海外稍逊一筹，我们需要逐步观察。但目前在精细化推理算力成本方面，我们已经取得了很好的开端。</w:t>
      </w:r>
    </w:p>
    <w:p>
      <w:r>
        <w:rPr>
          <w:rFonts w:ascii="等线(中文正文)" w:hAnsi="等线(中文正文)" w:cs="等线(中文正文)" w:eastAsia="等线(中文正文)"/>
          <w:b w:val="false"/>
          <w:i w:val="false"/>
          <w:sz w:val="20"/>
        </w:rPr>
        <w:t/>
      </w:r>
    </w:p>
    <w:p>
      <w:pPr>
        <w:pStyle w:val="ab"/>
      </w:pPr>
      <w:r>
        <w:t>发言人1 问：硬件出海叠加服务出海是否能成为拉动国内算力投资的新动力？</w:t>
      </w:r>
    </w:p>
    <w:p>
      <w:r>
        <w:rPr>
          <w:rFonts w:ascii="等线(中文正文)" w:hAnsi="等线(中文正文)" w:cs="等线(中文正文)" w:eastAsia="等线(中文正文)"/>
          <w:b w:val="false"/>
          <w:i w:val="false"/>
          <w:sz w:val="20"/>
        </w:rPr>
        <w:t>发言人1 答：确实如此，今年硬件出口超预期增长，增速达到了12%甚至更高，其中AI产业链中的光模块、光纤光缆、服务器处理单元、存储芯片和集成电路等均有出口。不仅直接出口，在AI产品出口上，中国的间接出口和错位出口也起到了重要作用，如对美国的出口实际上是通过东盟、日韩台、拉美等地进行二次分配。此外，除了硬件出口，软件也在出口，大模型也在出海，海外市场的占比提升有助于提升企业的商业化变现能力，并带动AI capex开发指数的增长。</w:t>
      </w:r>
    </w:p>
    <w:p>
      <w:r>
        <w:rPr>
          <w:rFonts w:ascii="等线(中文正文)" w:hAnsi="等线(中文正文)" w:cs="等线(中文正文)" w:eastAsia="等线(中文正文)"/>
          <w:b w:val="false"/>
          <w:i w:val="false"/>
          <w:sz w:val="20"/>
        </w:rPr>
        <w:t/>
      </w:r>
    </w:p>
    <w:p>
      <w:pPr>
        <w:pStyle w:val="ab"/>
      </w:pPr>
      <w:r>
        <w:t>发言人1 问：如何理解端侧AI与云端AI算力硬件之间的关系，它们是相互替代还是相互促进？</w:t>
      </w:r>
    </w:p>
    <w:p>
      <w:r>
        <w:rPr>
          <w:rFonts w:ascii="等线(中文正文)" w:hAnsi="等线(中文正文)" w:cs="等线(中文正文)" w:eastAsia="等线(中文正文)"/>
          <w:b w:val="false"/>
          <w:i w:val="false"/>
          <w:sz w:val="20"/>
        </w:rPr>
        <w:t>发言人1 答：端侧AI与云端AI算力硬件并非简单的上下替代关系，而是相互平行且相互促进的过程。云端模型能力提升后会逐步下放到端侧和边缘计算，满足不同场景的需求，包括低时延和用户隐私保护等。端侧AI反馈的数据又会反哺到云端模型，进行迭代训练，提升云端模型能力，然后再次蒸馏下放到端侧和边缘，形成飞轮效应。</w:t>
      </w:r>
    </w:p>
    <w:p>
      <w:r>
        <w:rPr>
          <w:rFonts w:ascii="等线(中文正文)" w:hAnsi="等线(中文正文)" w:cs="等线(中文正文)" w:eastAsia="等线(中文正文)"/>
          <w:b w:val="false"/>
          <w:i w:val="false"/>
          <w:sz w:val="20"/>
        </w:rPr>
        <w:t/>
      </w:r>
    </w:p>
    <w:p>
      <w:pPr>
        <w:pStyle w:val="ab"/>
      </w:pPr>
      <w:r>
        <w:t>发言人1 问：国产大模型适配意味着什么？是否能支撑国内算力建设，即使拿不到最先进的海外芯片？</w:t>
      </w:r>
    </w:p>
    <w:p>
      <w:r>
        <w:rPr>
          <w:rFonts w:ascii="等线(中文正文)" w:hAnsi="等线(中文正文)" w:cs="等线(中文正文)" w:eastAsia="等线(中文正文)"/>
          <w:b w:val="false"/>
          <w:i w:val="false"/>
          <w:sz w:val="20"/>
        </w:rPr>
        <w:t>发言人1 答：国产大模型适配意味着国产算力芯片开始与软件深度集成，实现软硬件协同，解决过去类似开卷考试的问题，让国产芯片公司在一定程度上可以预判并适应模型迭代方向，从而缩短研发周期。通过这种方式，国产算力芯片有望复制英伟达的成功发展模式，从闭卷考试走向开卷考试，成长斜率更快。</w:t>
      </w:r>
    </w:p>
    <w:p>
      <w:r>
        <w:rPr>
          <w:rFonts w:ascii="等线(中文正文)" w:hAnsi="等线(中文正文)" w:cs="等线(中文正文)" w:eastAsia="等线(中文正文)"/>
          <w:b w:val="false"/>
          <w:i w:val="false"/>
          <w:sz w:val="20"/>
        </w:rPr>
        <w:t/>
      </w:r>
    </w:p>
    <w:p>
      <w:pPr>
        <w:pStyle w:val="ab"/>
      </w:pPr>
      <w:r>
        <w:t>发言人1 问：中国日均token调用量从2024年初的1000亿跃升至2026年3月的140万亿，推理算力需求是否已成为国产AI硬件的最大增量市场？</w:t>
      </w:r>
    </w:p>
    <w:p>
      <w:r>
        <w:rPr>
          <w:rFonts w:ascii="等线(中文正文)" w:hAnsi="等线(中文正文)" w:cs="等线(中文正文)" w:eastAsia="等线(中文正文)"/>
          <w:b w:val="false"/>
          <w:i w:val="false"/>
          <w:sz w:val="20"/>
        </w:rPr>
        <w:t>发言人1 答：是的，推理算力需求已经成为驱动国产AI硬件需求增长的核心动力。相比训练算力，推理算力在TCO考量下，在细分领域和应用中，国产算力芯片凭借良好的软硬件配套，已经展现出比海外芯片的竞争优势，特别是在互联网大厂的传统搜索推广业务及多模态模型推理上，国产算力芯片在总体应用成本方面具有明显优势，为国产算力芯片需求向上走奠定了坚实的基础。</w:t>
      </w:r>
    </w:p>
    <w:p>
      <w:r>
        <w:rPr>
          <w:rFonts w:ascii="等线(中文正文)" w:hAnsi="等线(中文正文)" w:cs="等线(中文正文)" w:eastAsia="等线(中文正文)"/>
          <w:b w:val="false"/>
          <w:i w:val="false"/>
          <w:sz w:val="20"/>
        </w:rPr>
        <w:t/>
      </w:r>
    </w:p>
    <w:p>
      <w:pPr>
        <w:pStyle w:val="ab"/>
      </w:pPr>
      <w:r>
        <w:t>发言人1 问：在AI领域，从商业模式和收入来源的角度，中美之间存在什么样的差异？</w:t>
      </w:r>
    </w:p>
    <w:p>
      <w:r>
        <w:rPr>
          <w:rFonts w:ascii="等线(中文正文)" w:hAnsi="等线(中文正文)" w:cs="等线(中文正文)" w:eastAsia="等线(中文正文)"/>
          <w:b w:val="false"/>
          <w:i w:val="false"/>
          <w:sz w:val="20"/>
        </w:rPr>
        <w:t>发言人1 答：目前，国内大模型的收入主要来自国内客户，而海外市场的付费意愿和客户结构相对更强。此外，在融资环境中，当前更强调收入兑现性、硬技术和模型效率的投资。</w:t>
      </w:r>
    </w:p>
    <w:p>
      <w:r>
        <w:rPr>
          <w:rFonts w:ascii="等线(中文正文)" w:hAnsi="等线(中文正文)" w:cs="等线(中文正文)" w:eastAsia="等线(中文正文)"/>
          <w:b w:val="false"/>
          <w:i w:val="false"/>
          <w:sz w:val="20"/>
        </w:rPr>
        <w:t/>
      </w:r>
    </w:p>
    <w:p>
      <w:pPr>
        <w:pStyle w:val="ab"/>
      </w:pPr>
      <w:r>
        <w:t>发言人1 问：中国AI产业发展的加速体现在哪些方面？AI硬件国产替代的情况如何？</w:t>
      </w:r>
    </w:p>
    <w:p>
      <w:r>
        <w:rPr>
          <w:rFonts w:ascii="等线(中文正文)" w:hAnsi="等线(中文正文)" w:cs="等线(中文正文)" w:eastAsia="等线(中文正文)"/>
          <w:b w:val="false"/>
          <w:i w:val="false"/>
          <w:sz w:val="20"/>
        </w:rPr>
        <w:t>发言人1 答：2024年全球AI capital支出增长的同时，中国AI capital支出增速也不低，前五大平台和云服务企业的AI投资额增速超过60%。同时，中国AI应用广度扩大，硬件和模型出海带来增量资金来源，导致AI企业订单增长，预计未来支出增长会提速。中国AI加速卡市场国产占比已提升至41%，英伟达卡份额降至55%，表明国产算力芯片替代进程加快。许多中国大模型企业也在使用国产GPU训练模型，智能算力芯片收入增速高达百分之百，预计未来几年仍将持续增长。</w:t>
      </w:r>
    </w:p>
    <w:p>
      <w:r>
        <w:rPr>
          <w:rFonts w:ascii="等线(中文正文)" w:hAnsi="等线(中文正文)" w:cs="等线(中文正文)" w:eastAsia="等线(中文正文)"/>
          <w:b w:val="false"/>
          <w:i w:val="false"/>
          <w:sz w:val="20"/>
        </w:rPr>
        <w:t/>
      </w:r>
    </w:p>
    <w:p>
      <w:pPr>
        <w:pStyle w:val="ab"/>
      </w:pPr>
      <w:r>
        <w:t>发言人1 问：对于2026到2027年中国AI硬件行业的核心判断是什么？</w:t>
      </w:r>
    </w:p>
    <w:p>
      <w:r>
        <w:rPr>
          <w:rFonts w:ascii="等线(中文正文)" w:hAnsi="等线(中文正文)" w:cs="等线(中文正文)" w:eastAsia="等线(中文正文)"/>
          <w:b w:val="false"/>
          <w:i w:val="false"/>
          <w:sz w:val="20"/>
        </w:rPr>
        <w:t>发言人1 答：核心观点是行业将维持一个稳定的高位运行。尽管模型端收入已达到高位，但目前硬件投资尚未出现明显泡沫化现象，上下游沟通顺畅，库存堆积风险不大。随着应用端变化和技术迭代，AI基础设施投资需求将持续增长，预计维持高位稳健运行。</w:t>
      </w:r>
    </w:p>
    <w:p>
      <w:r>
        <w:rPr>
          <w:rFonts w:ascii="等线(中文正文)" w:hAnsi="等线(中文正文)" w:cs="等线(中文正文)" w:eastAsia="等线(中文正文)"/>
          <w:b w:val="false"/>
          <w:i w:val="false"/>
          <w:sz w:val="20"/>
        </w:rPr>
        <w:t/>
      </w:r>
    </w:p>
    <w:p>
      <w:pPr>
        <w:pStyle w:val="ab"/>
      </w:pPr>
      <w:r>
        <w:t>发言人1 问：从硬件投资角度，普通人最容易接触到的AI基建景气度风向标有哪些？对于普通投资者而言，如何判断AI基建目前是冷还是热？</w:t>
      </w:r>
    </w:p>
    <w:p>
      <w:r>
        <w:rPr>
          <w:rFonts w:ascii="等线(中文正文)" w:hAnsi="等线(中文正文)" w:cs="等线(中文正文)" w:eastAsia="等线(中文正文)"/>
          <w:b w:val="false"/>
          <w:i w:val="false"/>
          <w:sz w:val="20"/>
        </w:rPr>
        <w:t>发言人1 答：最核心的指标是算力价格，因为它反映了行业的供需状况和金融风险敞口。云大厂如亚马逊的算力租赁价格可作为跟踪行业景气度的重要参考指标。跟踪算力价格是判断AI基建冷热的重要方式，因为它直接体现了行业的供需关系和金融风险程度。</w:t>
      </w:r>
    </w:p>
    <w:p>
      <w:r>
        <w:rPr>
          <w:rFonts w:ascii="等线(中文正文)" w:hAnsi="等线(中文正文)" w:cs="等线(中文正文)" w:eastAsia="等线(中文正文)"/>
          <w:b w:val="false"/>
          <w:i w:val="false"/>
          <w:sz w:val="20"/>
        </w:rPr>
        <w:t/>
      </w:r>
    </w:p>
    <w:p>
      <w:pPr>
        <w:pStyle w:val="ab"/>
      </w:pPr>
      <w:r>
        <w:t>发言人1 问：对于AI开始之初，您最看重哪些观察指标？</w:t>
      </w:r>
    </w:p>
    <w:p>
      <w:r>
        <w:rPr>
          <w:rFonts w:ascii="等线(中文正文)" w:hAnsi="等线(中文正文)" w:cs="等线(中文正文)" w:eastAsia="等线(中文正文)"/>
          <w:b w:val="false"/>
          <w:i w:val="false"/>
          <w:sz w:val="20"/>
        </w:rPr>
        <w:t>发言人1 答：主要关注三个方面：一是应用或需求的扩张情况，如日活跃用户数、API调用量、订阅数量等；二是算力的可获得性，即国产芯片的交付量；三是投入能否变现，可通过观察AI投资企业的利润率和出海进度来判断。</w:t>
      </w:r>
    </w:p>
    <w:p>
      <w:r>
        <w:rPr>
          <w:rFonts w:ascii="等线(中文正文)" w:hAnsi="等线(中文正文)" w:cs="等线(中文正文)" w:eastAsia="等线(中文正文)"/>
          <w:b w:val="false"/>
          <w:i w:val="false"/>
          <w:sz w:val="20"/>
        </w:rPr>
        <w:t/>
      </w:r>
    </w:p>
    <w:p>
      <w:pPr>
        <w:pStyle w:val="ab"/>
      </w:pPr>
      <w:r>
        <w:t>发言人1 问：在您的职业生涯中，有哪些经验或教训对您影响深远？</w:t>
      </w:r>
    </w:p>
    <w:p>
      <w:r>
        <w:rPr>
          <w:rFonts w:ascii="等线(中文正文)" w:hAnsi="等线(中文正文)" w:cs="等线(中文正文)" w:eastAsia="等线(中文正文)"/>
          <w:b w:val="false"/>
          <w:i w:val="false"/>
          <w:sz w:val="20"/>
        </w:rPr>
        <w:t>发言人1 答：做硬件产业链研究或半导体行业分析时，应采用全产业链深度分析思路，密切关注产业链各个环节的跟踪和验证，以发现需求不匹配等问题的早期迹象，从而预测行业风险和拐点的到来。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