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诺诚健华 260825_导读</w:t>
      </w:r>
    </w:p>
    <w:p>
      <w:pPr>
        <w:pStyle w:val="a0"/>
        <w:jc w:val="center"/>
      </w:pPr>
      <w:r>
        <w:t>2026年08月27日 09:20</w:t>
      </w:r>
    </w:p>
    <w:p>
      <w:pPr>
        <w:pStyle w:val="a7"/>
      </w:pPr>
      <w:r>
        <w:t>关键词</w:t>
      </w:r>
    </w:p>
    <w:p>
      <w:r>
        <w:rPr>
          <w:rFonts w:ascii="等线(中文正文)" w:hAnsi="等线(中文正文)" w:cs="等线(中文正文)" w:eastAsia="等线(中文正文)"/>
          <w:b w:val="false"/>
          <w:i w:val="false"/>
          <w:sz w:val="20"/>
        </w:rPr>
        <w:t xml:space="preserve">奥布替尼 现金储备 净利润 同比增长 研发管线 NDA 索莱曲提尼 临床三期 血液肿瘤 实体瘤 自身免疫疾病 332 488 坦西索单抗 MCL ITP 银屑病 白癜风 莫斯洛克斯 AML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诺诚健华是一家专注于血液肿瘤、自身免疫性疾病及实体肿瘤等领域的生物制药公司，近期展现了显著的财务表现与研发进展。2026年上半年，公司总营收达到人民币11.4亿元，同比增长55.5%，净利润达人民币2.4亿元，展现了持续盈利与增长的良好态势。截至6月底，公司现金储备为人民币84亿元，为研发投入和全球化战略提供了坚实的资金基础。
在研发方面，诺诚健华推进了药物的商业化与全球化布局，包括奥布替尼在澳大利亚获批治疗复发难治性MCL，并提交了NDA用于治疗ITP和索莱曲提尼用于治疗HRK阳性儿童患者。此外，公司启动了多项新的临床三期研究，旨在进一步探索药物在SLE、MCL及AML等疾病中的应用潜力。
展望未来，诺诚健华计划在接下来的2到3年内，多个重要产品及大适应症将迎来关键的监管里程碑，预示着公司在实现2026年2.0目标方面正稳步前进，包括加速产品上市、加强临床研究、拓展国际合作等，旨在为患者提供更高效、安全的治疗方案。</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公司业绩与研发进展概览</w:t>
      </w:r>
    </w:p>
    <w:p>
      <w:r>
        <w:rPr>
          <w:rFonts w:ascii="等线(中文正文)" w:hAnsi="等线(中文正文)" w:cs="等线(中文正文)" w:eastAsia="等线(中文正文)"/>
          <w:b w:val="false"/>
          <w:i w:val="false"/>
          <w:sz w:val="20"/>
        </w:rPr>
        <w:t>公司业绩同比增长2%，净利润达2.4亿元，现金储备84亿元，支持研发投入和全球化。研发方面，奥布替尼获NDA批准及多项NDA提交，临床研究取得进展，包括三项新三期研究启动，两项概念验证里程碑达成，四项新IND申请提交，其中三项正推进至临床阶段。</w:t>
      </w:r>
    </w:p>
    <w:p>
      <w:r>
        <w:rPr>
          <w:rFonts w:ascii="等线(中文正文)" w:hAnsi="等线(中文正文)" w:cs="等线(中文正文)" w:eastAsia="等线(中文正文)"/>
          <w:b w:val="false"/>
          <w:i w:val="false"/>
          <w:sz w:val="20"/>
        </w:rPr>
        <w:t/>
      </w:r>
    </w:p>
    <w:p>
      <w:pPr>
        <w:pStyle w:val="ab"/>
        <w:numPr>
          <w:numId w:val="2"/>
        </w:numPr>
      </w:pPr>
      <w:r>
        <w:t>01:43 肿瘤创新管线进展与布局</w:t>
      </w:r>
    </w:p>
    <w:p>
      <w:r>
        <w:rPr>
          <w:rFonts w:ascii="等线(中文正文)" w:hAnsi="等线(中文正文)" w:cs="等线(中文正文)" w:eastAsia="等线(中文正文)"/>
          <w:b w:val="false"/>
          <w:i w:val="false"/>
          <w:sz w:val="20"/>
        </w:rPr>
        <w:t>对话介绍了血液肿瘤和实体瘤领域的创新管线布局，重点提及奥布替尼在国内外的商业化进展，以及索莱曲奇在实体瘤治疗上的应用。同时，分享了下一代ADC药物和双卡ABC项目的研发动态，展示了公司在肿瘤治疗领域的持续创新和增长潜力。</w:t>
      </w:r>
    </w:p>
    <w:p>
      <w:r>
        <w:rPr>
          <w:rFonts w:ascii="等线(中文正文)" w:hAnsi="等线(中文正文)" w:cs="等线(中文正文)" w:eastAsia="等线(中文正文)"/>
          <w:b w:val="false"/>
          <w:i w:val="false"/>
          <w:sz w:val="20"/>
        </w:rPr>
        <w:t/>
      </w:r>
    </w:p>
    <w:p>
      <w:pPr>
        <w:pStyle w:val="ab"/>
        <w:numPr>
          <w:numId w:val="3"/>
        </w:numPr>
      </w:pPr>
      <w:r>
        <w:t>04:41 自身免疫疾病创新管线加速商业化</w:t>
      </w:r>
    </w:p>
    <w:p>
      <w:r>
        <w:rPr>
          <w:rFonts w:ascii="等线(中文正文)" w:hAnsi="等线(中文正文)" w:cs="等线(中文正文)" w:eastAsia="等线(中文正文)"/>
          <w:b w:val="false"/>
          <w:i w:val="false"/>
          <w:sz w:val="20"/>
        </w:rPr>
        <w:t>对话介绍了自身免疫疾病领域的创新管线，强调了多个后期管线加速商业化进程，包括ITP、SLE、PPMS等适应症的临床进展，以及ICP054和ICP538等差异化创新资产的开发。此外，提及了多个三期临床研究的推进，预计未来2到3年将迎来多个产品的重要监管里程碑，为患者带来更多治疗选择，同时为投资者提供创新价值。</w:t>
      </w:r>
    </w:p>
    <w:p>
      <w:r>
        <w:rPr>
          <w:rFonts w:ascii="等线(中文正文)" w:hAnsi="等线(中文正文)" w:cs="等线(中文正文)" w:eastAsia="等线(中文正文)"/>
          <w:b w:val="false"/>
          <w:i w:val="false"/>
          <w:sz w:val="20"/>
        </w:rPr>
        <w:t/>
      </w:r>
    </w:p>
    <w:p>
      <w:pPr>
        <w:pStyle w:val="ab"/>
        <w:numPr>
          <w:numId w:val="4"/>
        </w:numPr>
      </w:pPr>
      <w:r>
        <w:t>08:06 诺成建华2026年上半年财务表现强劲</w:t>
      </w:r>
    </w:p>
    <w:p>
      <w:r>
        <w:rPr>
          <w:rFonts w:ascii="等线(中文正文)" w:hAnsi="等线(中文正文)" w:cs="等线(中文正文)" w:eastAsia="等线(中文正文)"/>
          <w:b w:val="false"/>
          <w:i w:val="false"/>
          <w:sz w:val="20"/>
        </w:rPr>
        <w:t>2026年上半年，公司总营收达11.4亿元，同比增长55.5%，药品销售收入为9.18亿元，占总营收80.7%，同比增长43.2%。净利润实现2.4亿元，较2025年同期大幅增长，每股收益达0.14元。公司加大研发投入，上半年研发费用为4.97亿元，同比增长10.5%，现金储备充足，达84.3亿元。预计2026年全年将持续盈利，每股收益将高于上半年水平。</w:t>
      </w:r>
    </w:p>
    <w:p>
      <w:r>
        <w:rPr>
          <w:rFonts w:ascii="等线(中文正文)" w:hAnsi="等线(中文正文)" w:cs="等线(中文正文)" w:eastAsia="等线(中文正文)"/>
          <w:b w:val="false"/>
          <w:i w:val="false"/>
          <w:sz w:val="20"/>
        </w:rPr>
        <w:t/>
      </w:r>
    </w:p>
    <w:p>
      <w:pPr>
        <w:pStyle w:val="ab"/>
        <w:numPr>
          <w:numId w:val="5"/>
        </w:numPr>
      </w:pPr>
      <w:r>
        <w:t>10:31 2026年：洛城建华产品管线拓展与商业化平台成就</w:t>
      </w:r>
    </w:p>
    <w:p>
      <w:r>
        <w:rPr>
          <w:rFonts w:ascii="等线(中文正文)" w:hAnsi="等线(中文正文)" w:cs="等线(中文正文)" w:eastAsia="等线(中文正文)"/>
          <w:b w:val="false"/>
          <w:i w:val="false"/>
          <w:sz w:val="20"/>
        </w:rPr>
        <w:t>2026年，通过奥布替尼在新适应症的拓展和坦斯诺单抗的上市，公司在血液肿瘤领域地位进一步巩固。产品管线覆盖四大主要适应症，两款产品获cisco指南推荐。左来曲替尼作为首款实体瘤疗法，展现优异疗效与安全性。商业化平台成熟高效，团队规模约500人，覆盖超1500家医院。预计全年销售增速超35%，上半年财务表现强劲，营收高速增长，持续盈利，现金储备雄厚。</w:t>
      </w:r>
    </w:p>
    <w:p>
      <w:r>
        <w:rPr>
          <w:rFonts w:ascii="等线(中文正文)" w:hAnsi="等线(中文正文)" w:cs="等线(中文正文)" w:eastAsia="等线(中文正文)"/>
          <w:b w:val="false"/>
          <w:i w:val="false"/>
          <w:sz w:val="20"/>
        </w:rPr>
        <w:t/>
      </w:r>
    </w:p>
    <w:p>
      <w:pPr>
        <w:pStyle w:val="ab"/>
        <w:numPr>
          <w:numId w:val="6"/>
        </w:numPr>
      </w:pPr>
      <w:r>
        <w:t>11:42 血液肿瘤药物研发进展与市场潜力</w:t>
      </w:r>
    </w:p>
    <w:p>
      <w:r>
        <w:rPr>
          <w:rFonts w:ascii="等线(中文正文)" w:hAnsi="等线(中文正文)" w:cs="等线(中文正文)" w:eastAsia="等线(中文正文)"/>
          <w:b w:val="false"/>
          <w:i w:val="false"/>
          <w:sz w:val="20"/>
        </w:rPr>
        <w:t>分享了血液肿瘤领域内多个创新药物的研发进展，包括奥布替尼、凯西诺单抗及莫斯卢卡斯等，重点介绍了其在淋巴瘤、白血病等适应症中的临床优势与市场潜力，强调了联合疗法的突出疗效及安全性，展望了未来临床研究方向与商业化前景。</w:t>
      </w:r>
    </w:p>
    <w:p>
      <w:r>
        <w:rPr>
          <w:rFonts w:ascii="等线(中文正文)" w:hAnsi="等线(中文正文)" w:cs="等线(中文正文)" w:eastAsia="等线(中文正文)"/>
          <w:b w:val="false"/>
          <w:i w:val="false"/>
          <w:sz w:val="20"/>
        </w:rPr>
        <w:t/>
      </w:r>
    </w:p>
    <w:p>
      <w:pPr>
        <w:pStyle w:val="ab"/>
        <w:numPr>
          <w:numId w:val="7"/>
        </w:numPr>
      </w:pPr>
      <w:r>
        <w:t>23:14 洛城建华管线进展与市场机遇</w:t>
      </w:r>
    </w:p>
    <w:p>
      <w:r>
        <w:rPr>
          <w:rFonts w:ascii="等线(中文正文)" w:hAnsi="等线(中文正文)" w:cs="等线(中文正文)" w:eastAsia="等线(中文正文)"/>
          <w:b w:val="false"/>
          <w:i w:val="false"/>
          <w:sz w:val="20"/>
        </w:rPr>
        <w:t>洛城建华管线迎来多项里程碑，奥布替尼治疗ITP的NDA获受理，为首个自免适应症，中国无BTK抑制剂获批用于ITP。SLE适应症进入注册临床，PPMS和SPMS快速推进三期临床。ICP332在AD适应症达到主要终点，疗效显著，有望成为同类首创。白癜风二期同样达终点，拓展多项适应症。Fava ICT488银屑病三期达主要终点，安全性良好。ICP538和ICP054分别进入VV one分子胶降解剂和口服白介十七抑制剂临床，构建差异化竞争力。奥布替尼推进PPMS和SPMS三期临床，市场机遇超120亿美元。APP领域NDA申请获受理，全球新增患者超20万例。SLE领域为首个验证BTK抑制剂疗效的药物，面向全球约800万患者。ITP慢性患者约30万例，每年新增6万，奥布替尼直击疾病根本，为长期用药设计。2020年上半年NDA正式递交并受CDE受理，迈向业绩增长引擎。</w:t>
      </w:r>
    </w:p>
    <w:p>
      <w:r>
        <w:rPr>
          <w:rFonts w:ascii="等线(中文正文)" w:hAnsi="等线(中文正文)" w:cs="等线(中文正文)" w:eastAsia="等线(中文正文)"/>
          <w:b w:val="false"/>
          <w:i w:val="false"/>
          <w:sz w:val="20"/>
        </w:rPr>
        <w:t/>
      </w:r>
    </w:p>
    <w:p>
      <w:pPr>
        <w:pStyle w:val="ab"/>
        <w:numPr>
          <w:numId w:val="8"/>
        </w:numPr>
      </w:pPr>
      <w:r>
        <w:t>26:11 创新药物奥布替尼与ICP332在自身免疫性疾病治疗中的突破</w:t>
      </w:r>
    </w:p>
    <w:p>
      <w:r>
        <w:rPr>
          <w:rFonts w:ascii="等线(中文正文)" w:hAnsi="等线(中文正文)" w:cs="等线(中文正文)" w:eastAsia="等线(中文正文)"/>
          <w:b w:val="false"/>
          <w:i w:val="false"/>
          <w:sz w:val="20"/>
        </w:rPr>
        <w:t>对话介绍了奥布替尼作为全球首个用于SLE的口服BTK抑制剂，以及ICP332在特异性皮炎和白癜风治疗中的显著疗效，强调了这两款药物在抑制B细胞异常活化、抗炎及安全性方面的独特优势，展示了它们在多种自身免疫性疾病治疗领域的巨大潜力和市场机遇。</w:t>
      </w:r>
    </w:p>
    <w:p>
      <w:r>
        <w:rPr>
          <w:rFonts w:ascii="等线(中文正文)" w:hAnsi="等线(中文正文)" w:cs="等线(中文正文)" w:eastAsia="等线(中文正文)"/>
          <w:b w:val="false"/>
          <w:i w:val="false"/>
          <w:sz w:val="20"/>
        </w:rPr>
        <w:t/>
      </w:r>
    </w:p>
    <w:p>
      <w:pPr>
        <w:pStyle w:val="ab"/>
        <w:numPr>
          <w:numId w:val="9"/>
        </w:numPr>
      </w:pPr>
      <w:r>
        <w:t>30:21 炎症性皮肤疾病治疗药物临床进展与市场前景</w:t>
      </w:r>
    </w:p>
    <w:p>
      <w:r>
        <w:rPr>
          <w:rFonts w:ascii="等线(中文正文)" w:hAnsi="等线(中文正文)" w:cs="等线(中文正文)" w:eastAsia="等线(中文正文)"/>
          <w:b w:val="false"/>
          <w:i w:val="false"/>
          <w:sz w:val="20"/>
        </w:rPr>
        <w:t>特异性皮炎、白癜风、银屑病等炎症性皮肤疾病治疗药物在临床试验中取得积极成果，目标市场前景广阔，预计至2030年总市场可达数百亿美元。特别是t two抑制剂ICK488在斑块状银屑病二期研究中表现出色，计划推进至三期开发，瞄准全球580亿美元银屑病市场。同时，针对皮肤性狼疮和干燥综合症的二期研究也在进行，旨在满足未被满足的临床需求。公司正通过持续的研发投入，拓展适应症，释放更广阔的市场潜力。</w:t>
      </w:r>
    </w:p>
    <w:p>
      <w:r>
        <w:rPr>
          <w:rFonts w:ascii="等线(中文正文)" w:hAnsi="等线(中文正文)" w:cs="等线(中文正文)" w:eastAsia="等线(中文正文)"/>
          <w:b w:val="false"/>
          <w:i w:val="false"/>
          <w:sz w:val="20"/>
        </w:rPr>
        <w:t/>
      </w:r>
    </w:p>
    <w:p>
      <w:pPr>
        <w:pStyle w:val="ab"/>
        <w:numPr>
          <w:numId w:val="10"/>
        </w:numPr>
      </w:pPr>
      <w:r>
        <w:t>32:57 公司两款临床早期治疗项目介绍</w:t>
      </w:r>
    </w:p>
    <w:p>
      <w:r>
        <w:rPr>
          <w:rFonts w:ascii="等线(中文正文)" w:hAnsi="等线(中文正文)" w:cs="等线(中文正文)" w:eastAsia="等线(中文正文)"/>
          <w:b w:val="false"/>
          <w:i w:val="false"/>
          <w:sz w:val="20"/>
        </w:rPr>
        <w:t>介绍了两款临床早期治疗项目：VAV one靶向的降解剂ICP538，可调控T和B细胞免疫功能，干预自身免疫疾病；以及LCVP抑制剂ICP杠054，特异性结合RCPT2气体，阻断炎症信号传导。两款药物均处于临床一期实验阶段，展示了显著的药效。公司管线覆盖多个治疗领域，包括皮肤科、风湿免疫科等，有进一步扩展的潜力。</w:t>
      </w:r>
    </w:p>
    <w:p>
      <w:r>
        <w:rPr>
          <w:rFonts w:ascii="等线(中文正文)" w:hAnsi="等线(中文正文)" w:cs="等线(中文正文)" w:eastAsia="等线(中文正文)"/>
          <w:b w:val="false"/>
          <w:i w:val="false"/>
          <w:sz w:val="20"/>
        </w:rPr>
        <w:t/>
      </w:r>
    </w:p>
    <w:p>
      <w:pPr>
        <w:pStyle w:val="ab"/>
        <w:numPr>
          <w:numId w:val="11"/>
        </w:numPr>
      </w:pPr>
      <w:r>
        <w:t>35:26 创新药物与ADC平台在癌症治疗中的突破</w:t>
      </w:r>
    </w:p>
    <w:p>
      <w:r>
        <w:rPr>
          <w:rFonts w:ascii="等线(中文正文)" w:hAnsi="等线(中文正文)" w:cs="等线(中文正文)" w:eastAsia="等线(中文正文)"/>
          <w:b w:val="false"/>
          <w:i w:val="false"/>
          <w:sz w:val="20"/>
        </w:rPr>
        <w:t>介绍了创新顺流HT0在治疗携带NTRK基因融合的患者中的卓越疗效，以及公司ADC平台在胃肠道肿瘤治疗中的应用潜力，包括CDS17ADC和双特异性ADC分子设计的临床进展。</w:t>
      </w:r>
    </w:p>
    <w:p>
      <w:r>
        <w:rPr>
          <w:rFonts w:ascii="等线(中文正文)" w:hAnsi="等线(中文正文)" w:cs="等线(中文正文)" w:eastAsia="等线(中文正文)"/>
          <w:b w:val="false"/>
          <w:i w:val="false"/>
          <w:sz w:val="20"/>
        </w:rPr>
        <w:t/>
      </w:r>
    </w:p>
    <w:p>
      <w:pPr>
        <w:pStyle w:val="ab"/>
        <w:numPr>
          <w:numId w:val="12"/>
        </w:numPr>
      </w:pPr>
      <w:r>
        <w:t>39:40 公司核心优势与未来里程碑展望</w:t>
      </w:r>
    </w:p>
    <w:p>
      <w:r>
        <w:rPr>
          <w:rFonts w:ascii="等线(中文正文)" w:hAnsi="等线(中文正文)" w:cs="等线(中文正文)" w:eastAsia="等线(中文正文)"/>
          <w:b w:val="false"/>
          <w:i w:val="false"/>
          <w:sz w:val="20"/>
        </w:rPr>
        <w:t>对话概述了公司的核心优势，包括高价值、宽治疗窗口、清除大肿瘤和克服耐药能力。公司正快速推进ABC管线临床开发，B7H3 ADC剂量爬坡已完成五个剂量组，未观察到DOT，现已进入第六个剂量组。未来里程碑涵盖血液肿瘤、自身免疫疾病和实体瘤领域，包括奥布替尼联合莫斯托class治疗慢淋小淋固定疗程三期注册临床数据读出，以及NDA申报等。财务方面，公司预计2020年保持持续盈利。</w:t>
      </w:r>
    </w:p>
    <w:p>
      <w:r>
        <w:rPr>
          <w:rFonts w:ascii="等线(中文正文)" w:hAnsi="等线(中文正文)" w:cs="等线(中文正文)" w:eastAsia="等线(中文正文)"/>
          <w:b w:val="false"/>
          <w:i w:val="false"/>
          <w:sz w:val="20"/>
        </w:rPr>
        <w:t/>
      </w:r>
    </w:p>
    <w:p>
      <w:pPr>
        <w:pStyle w:val="ab"/>
        <w:numPr>
          <w:numId w:val="13"/>
        </w:numPr>
      </w:pPr>
      <w:r>
        <w:t>43:36 奥布替尼放量与公司全年目标展望</w:t>
      </w:r>
    </w:p>
    <w:p>
      <w:r>
        <w:rPr>
          <w:rFonts w:ascii="等线(中文正文)" w:hAnsi="等线(中文正文)" w:cs="等线(中文正文)" w:eastAsia="等线(中文正文)"/>
          <w:b w:val="false"/>
          <w:i w:val="false"/>
          <w:sz w:val="20"/>
        </w:rPr>
        <w:t>讨论了奥布替尼快速放量的原因及其对收入目标的影响，强调了一线治疗获批、医保纳入和市场拓展等因素。同时，分享了对公司全年收入增长35%以上目标的信心，并提及了核心管线的经济进展，包括BCL2抑制剂和双特异性抗体等产品的注册临床进展，以及对国际化和BD合作的谨慎态度。</w:t>
      </w:r>
    </w:p>
    <w:p>
      <w:r>
        <w:rPr>
          <w:rFonts w:ascii="等线(中文正文)" w:hAnsi="等线(中文正文)" w:cs="等线(中文正文)" w:eastAsia="等线(中文正文)"/>
          <w:b w:val="false"/>
          <w:i w:val="false"/>
          <w:sz w:val="20"/>
        </w:rPr>
        <w:t/>
      </w:r>
    </w:p>
    <w:p>
      <w:pPr>
        <w:pStyle w:val="ab"/>
        <w:numPr>
          <w:numId w:val="14"/>
        </w:numPr>
      </w:pPr>
      <w:r>
        <w:t>47:52 BCL抑制剂与CPB抑制剂的机制及临床开发策略</w:t>
      </w:r>
    </w:p>
    <w:p>
      <w:r>
        <w:rPr>
          <w:rFonts w:ascii="等线(中文正文)" w:hAnsi="等线(中文正文)" w:cs="等线(中文正文)" w:eastAsia="等线(中文正文)"/>
          <w:b w:val="false"/>
          <w:i w:val="false"/>
          <w:sz w:val="20"/>
        </w:rPr>
        <w:t>讨论了BCL抑制剂在AML和MDS适应症上的优异疗效及安全性，归因于其独特的分子设计避免了代谢产物带来的问题。同时，CPB抑制剂作为t two抑制剂，展现出对难治性自身免疫性疾病的潜在治疗优势，其临床开发计划包括与监管机构沟通取消黑框警告的可能性。</w:t>
      </w:r>
    </w:p>
    <w:p>
      <w:r>
        <w:rPr>
          <w:rFonts w:ascii="等线(中文正文)" w:hAnsi="等线(中文正文)" w:cs="等线(中文正文)" w:eastAsia="等线(中文正文)"/>
          <w:b w:val="false"/>
          <w:i w:val="false"/>
          <w:sz w:val="20"/>
        </w:rPr>
        <w:t/>
      </w:r>
    </w:p>
    <w:p>
      <w:pPr>
        <w:pStyle w:val="ab"/>
        <w:numPr>
          <w:numId w:val="15"/>
        </w:numPr>
      </w:pPr>
      <w:r>
        <w:t>54:36 奥替尼海外MS适应症进展及市场格局</w:t>
      </w:r>
    </w:p>
    <w:p>
      <w:r>
        <w:rPr>
          <w:rFonts w:ascii="等线(中文正文)" w:hAnsi="等线(中文正文)" w:cs="等线(中文正文)" w:eastAsia="等线(中文正文)"/>
          <w:b w:val="false"/>
          <w:i w:val="false"/>
          <w:sz w:val="20"/>
        </w:rPr>
        <w:t>对话中，管理层更新了奥替尼在海外针对PPMS和SPMS适应症的临床试验进展，强调了与ZS合作的全球唯一性，预计未来2到3年可获临床结果。同时，分析了MS治疗领域内竞争格局，指出RMS治疗药物已较为成熟，而PPMS和SPMS领域药物稀缺，奥替尼凭借在预防、药物选择性及安全性方面的优势，有望成为Best in Class产品。</w:t>
      </w:r>
    </w:p>
    <w:p>
      <w:r>
        <w:rPr>
          <w:rFonts w:ascii="等线(中文正文)" w:hAnsi="等线(中文正文)" w:cs="等线(中文正文)" w:eastAsia="等线(中文正文)"/>
          <w:b w:val="false"/>
          <w:i w:val="false"/>
          <w:sz w:val="20"/>
        </w:rPr>
        <w:t/>
      </w:r>
    </w:p>
    <w:p>
      <w:pPr>
        <w:pStyle w:val="ab"/>
        <w:numPr>
          <w:numId w:val="16"/>
        </w:numPr>
      </w:pPr>
      <w:r>
        <w:t>59:42 BCL-2抑制剂临床进展及全球开发策略</w:t>
      </w:r>
    </w:p>
    <w:p>
      <w:r>
        <w:rPr>
          <w:rFonts w:ascii="等线(中文正文)" w:hAnsi="等线(中文正文)" w:cs="等线(中文正文)" w:eastAsia="等线(中文正文)"/>
          <w:b w:val="false"/>
          <w:i w:val="false"/>
          <w:sz w:val="20"/>
        </w:rPr>
        <w:t>讨论了BCL-2抑制剂在AML治疗中的三期临床进展，包括在中国的剂量设计和全球多地区开发计划。提及了主要终点OS及次要终点如MRD率和CR率的重要性，以及与竞品维奈克拉的头对头试验获得CDE批准的情况。此外，还介绍了针对曼小林和套细胞淋巴瘤的注册实验进度，预计明年上半年可提交上市申请。</w:t>
      </w:r>
    </w:p>
    <w:p>
      <w:r>
        <w:rPr>
          <w:rFonts w:ascii="等线(中文正文)" w:hAnsi="等线(中文正文)" w:cs="等线(中文正文)" w:eastAsia="等线(中文正文)"/>
          <w:b w:val="false"/>
          <w:i w:val="false"/>
          <w:sz w:val="20"/>
        </w:rPr>
        <w:t/>
      </w:r>
    </w:p>
    <w:p>
      <w:pPr>
        <w:pStyle w:val="ab"/>
        <w:numPr>
          <w:numId w:val="17"/>
        </w:numPr>
      </w:pPr>
      <w:r>
        <w:t>01:03:37 公司双t药物未来计划与商业化布局</w:t>
      </w:r>
    </w:p>
    <w:p>
      <w:r>
        <w:rPr>
          <w:rFonts w:ascii="等线(中文正文)" w:hAnsi="等线(中文正文)" w:cs="等线(中文正文)" w:eastAsia="等线(中文正文)"/>
          <w:b w:val="false"/>
          <w:i w:val="false"/>
          <w:sz w:val="20"/>
        </w:rPr>
        <w:t>对话中讨论了公司双t药物332和488的未来计划，包括上市申报、数据披露及商业化团队组建。332预计2027年上半年完成临床研究并提交上市申请，涵盖五个适应症，其中银屑病方面，488已完成临床三期，目标两三年内获取上市许可。计划建立专门的自身免疫疾病商业化团队，尤其是皮肤科领域，同时探索更严重的自身免疫疾病及轻症适应症的治疗潜力，考虑与其他免疫制剂联合使用。</w:t>
      </w:r>
    </w:p>
    <w:p>
      <w:r>
        <w:rPr>
          <w:rFonts w:ascii="等线(中文正文)" w:hAnsi="等线(中文正文)" w:cs="等线(中文正文)" w:eastAsia="等线(中文正文)"/>
          <w:b w:val="false"/>
          <w:i w:val="false"/>
          <w:sz w:val="20"/>
        </w:rPr>
        <w:t/>
      </w:r>
    </w:p>
    <w:p>
      <w:pPr>
        <w:pStyle w:val="ab"/>
        <w:numPr>
          <w:numId w:val="18"/>
        </w:numPr>
      </w:pPr>
      <w:r>
        <w:t>01:06:45 药物研发进展与全球竞争格局探讨</w:t>
      </w:r>
    </w:p>
    <w:p>
      <w:r>
        <w:rPr>
          <w:rFonts w:ascii="等线(中文正文)" w:hAnsi="等线(中文正文)" w:cs="等线(中文正文)" w:eastAsia="等线(中文正文)"/>
          <w:b w:val="false"/>
          <w:i w:val="false"/>
          <w:sz w:val="20"/>
        </w:rPr>
        <w:t>对话围绕两款药物的研发进展及全球市场竞争力展开，重点讨论了332号药物针对白癜风的临床数据优于竞品乌帕，以及奥布替尼在PPMS领域的潜在优势。同时，分析了罗氏和诺华在BDK抑制剂领域的研发动态，评估了全球竞争格局，并探讨了诺华若RMS研究失败可能带来的合作机会。</w:t>
      </w:r>
    </w:p>
    <w:p>
      <w:r>
        <w:rPr>
          <w:rFonts w:ascii="等线(中文正文)" w:hAnsi="等线(中文正文)" w:cs="等线(中文正文)" w:eastAsia="等线(中文正文)"/>
          <w:b w:val="false"/>
          <w:i w:val="false"/>
          <w:sz w:val="20"/>
        </w:rPr>
        <w:t/>
      </w:r>
    </w:p>
    <w:p>
      <w:pPr>
        <w:pStyle w:val="ab"/>
        <w:numPr>
          <w:numId w:val="19"/>
        </w:numPr>
      </w:pPr>
      <w:r>
        <w:t>01:13:32 公司ADC平台与新分子平台布局策略</w:t>
      </w:r>
    </w:p>
    <w:p>
      <w:r>
        <w:rPr>
          <w:rFonts w:ascii="等线(中文正文)" w:hAnsi="等线(中文正文)" w:cs="等线(中文正文)" w:eastAsia="等线(中文正文)"/>
          <w:b w:val="false"/>
          <w:i w:val="false"/>
          <w:sz w:val="20"/>
        </w:rPr>
        <w:t>对话围绕公司在ADC领域的布局策略展开，重点介绍了优化连接子、配偶等技术在临床验证中的优势，以及从单靶点到双靶点ADC管线的扩展计划。此外，讨论了自勉分子胶、环泰等平台在肿瘤与智敏疾病治疗靶点上的开发方向，强调了对不可成药靶点的多角度研究策略。</w:t>
      </w:r>
    </w:p>
    <w:p>
      <w:r>
        <w:rPr>
          <w:rFonts w:ascii="等线(中文正文)" w:hAnsi="等线(中文正文)" w:cs="等线(中文正文)" w:eastAsia="等线(中文正文)"/>
          <w:b w:val="false"/>
          <w:i w:val="false"/>
          <w:sz w:val="20"/>
        </w:rPr>
        <w:t/>
      </w:r>
    </w:p>
    <w:p>
      <w:pPr>
        <w:pStyle w:val="ab"/>
        <w:numPr>
          <w:numId w:val="20"/>
        </w:numPr>
      </w:pPr>
      <w:r>
        <w:t>01:17:05 公司管线推进与费用展望</w:t>
      </w:r>
    </w:p>
    <w:p>
      <w:r>
        <w:rPr>
          <w:rFonts w:ascii="等线(中文正文)" w:hAnsi="等线(中文正文)" w:cs="等线(中文正文)" w:eastAsia="等线(中文正文)"/>
          <w:b w:val="false"/>
          <w:i w:val="false"/>
          <w:sz w:val="20"/>
        </w:rPr>
        <w:t>对话围绕公司管线推进速度、销售费用与研发支出变化、技术合作进展展开。管理层表示，随着新产品上市，销售费用率将下降，研发费用预计年增长15%-20%。同时，与西湖大学的合作取得突破，正开发全球首创的口服mini portion，未来有望扩大合作领域。</w:t>
      </w:r>
    </w:p>
    <w:p>
      <w:r>
        <w:rPr>
          <w:rFonts w:ascii="等线(中文正文)" w:hAnsi="等线(中文正文)" w:cs="等线(中文正文)" w:eastAsia="等线(中文正文)"/>
          <w:b w:val="false"/>
          <w:i w:val="false"/>
          <w:sz w:val="20"/>
        </w:rPr>
        <w:t/>
      </w:r>
    </w:p>
    <w:p>
      <w:pPr>
        <w:pStyle w:val="ab"/>
        <w:numPr>
          <w:numId w:val="21"/>
        </w:numPr>
      </w:pPr>
      <w:r>
        <w:t>01:23:00 奥布替尼联合疗法在血液瘤治疗中的差异化优势与进展</w:t>
      </w:r>
    </w:p>
    <w:p>
      <w:r>
        <w:rPr>
          <w:rFonts w:ascii="等线(中文正文)" w:hAnsi="等线(中文正文)" w:cs="等线(中文正文)" w:eastAsia="等线(中文正文)"/>
          <w:b w:val="false"/>
          <w:i w:val="false"/>
          <w:sz w:val="20"/>
        </w:rPr>
        <w:t>对话围绕奥布替尼联合马斯托克用于治疗血液瘤的差异化优势展开，强调了该联合疗法在复发难治性套细胞淋巴瘤和边缘区淋巴瘤中展现出的优异疗效和安全性。讨论了奥布替尼与马斯托克的协同作用机制，以及在淋巴瘤适应症开发中的应用，包括一线治疗和复发难治病例。此外，提到了未来数据更新的公布计划，预计在2024年期间将有更多最新进展的数据公布。</w:t>
      </w:r>
    </w:p>
    <w:p>
      <w:r>
        <w:rPr>
          <w:rFonts w:ascii="等线(中文正文)" w:hAnsi="等线(中文正文)" w:cs="等线(中文正文)" w:eastAsia="等线(中文正文)"/>
          <w:b w:val="false"/>
          <w:i w:val="false"/>
          <w:sz w:val="20"/>
        </w:rPr>
        <w:t/>
      </w:r>
    </w:p>
    <w:p>
      <w:pPr>
        <w:pStyle w:val="ab"/>
        <w:numPr>
          <w:numId w:val="22"/>
        </w:numPr>
      </w:pPr>
      <w:r>
        <w:t>01:25:36 TCE平台产品管线与临床布局</w:t>
      </w:r>
    </w:p>
    <w:p>
      <w:r>
        <w:rPr>
          <w:rFonts w:ascii="等线(中文正文)" w:hAnsi="等线(中文正文)" w:cs="等线(中文正文)" w:eastAsia="等线(中文正文)"/>
          <w:b w:val="false"/>
          <w:i w:val="false"/>
          <w:sz w:val="20"/>
        </w:rPr>
        <w:t>对话围绕TCE平台产品管线的未来规划展开，讨论了下一代产品的布局计划，强调了差异化的竞争优势，以及进入临床阶段的时间表，表示将在合适时机公布靶点和分子信息。</w:t>
      </w:r>
    </w:p>
    <w:p>
      <w:r>
        <w:rPr>
          <w:rFonts w:ascii="等线(中文正文)" w:hAnsi="等线(中文正文)" w:cs="等线(中文正文)" w:eastAsia="等线(中文正文)"/>
          <w:b w:val="false"/>
          <w:i w:val="false"/>
          <w:sz w:val="20"/>
        </w:rPr>
        <w:t/>
      </w:r>
    </w:p>
    <w:p>
      <w:pPr>
        <w:pStyle w:val="ab"/>
        <w:numPr>
          <w:numId w:val="23"/>
        </w:numPr>
      </w:pPr>
      <w:r>
        <w:t>01:28:08 奥布替尼自免适应症商业化规划与ICP054推进节奏</w:t>
      </w:r>
    </w:p>
    <w:p>
      <w:r>
        <w:rPr>
          <w:rFonts w:ascii="等线(中文正文)" w:hAnsi="等线(中文正文)" w:cs="等线(中文正文)" w:eastAsia="等线(中文正文)"/>
          <w:b w:val="false"/>
          <w:i w:val="false"/>
          <w:sz w:val="20"/>
        </w:rPr>
        <w:t>对话围绕奥布替尼在自身免疫疾病领域的商业化规划展开，特别是ITP适应症的NDA申请已获受理，预计明年获批，公司正积极组建上市团队，准备覆盖医院、患者分析、差异化竞争策略及定价体系，以实现快速商业化。同时，关于ICP054的推进，已完成多个临床前研究，一期健康志愿者研究有望年底完成，与戴纳斯合作紧密，旨在快速推进至概念验证研究阶段。</w:t>
      </w:r>
    </w:p>
    <w:p>
      <w:r>
        <w:rPr>
          <w:rFonts w:ascii="等线(中文正文)" w:hAnsi="等线(中文正文)" w:cs="等线(中文正文)" w:eastAsia="等线(中文正文)"/>
          <w:b w:val="false"/>
          <w:i w:val="false"/>
          <w:sz w:val="20"/>
        </w:rPr>
        <w:t/>
      </w:r>
    </w:p>
    <w:p>
      <w:pPr>
        <w:pStyle w:val="ab"/>
        <w:numPr>
          <w:numId w:val="24"/>
        </w:numPr>
      </w:pPr>
      <w:r>
        <w:t>01:30:39 药物安全性与反腐政策影响及合作标准讨论</w:t>
      </w:r>
    </w:p>
    <w:p>
      <w:r>
        <w:rPr>
          <w:rFonts w:ascii="等线(中文正文)" w:hAnsi="等线(中文正文)" w:cs="等线(中文正文)" w:eastAsia="等线(中文正文)"/>
          <w:b w:val="false"/>
          <w:i w:val="false"/>
          <w:sz w:val="20"/>
        </w:rPr>
        <w:t>讨论了MDS治疗药物的安全性优势，强调其在骨髓功能恢复方面的表现；分析反腐政策对中国医药环境的长期正面影响，指出患者需求稳定，销售增长强劲；阐述了选择药物合作方的标准，包括对first-in-class药物的认可及多适应症开发意愿。</w:t>
      </w:r>
    </w:p>
    <w:p>
      <w:r>
        <w:rPr>
          <w:rFonts w:ascii="等线(中文正文)" w:hAnsi="等线(中文正文)" w:cs="等线(中文正文)" w:eastAsia="等线(中文正文)"/>
          <w:b w:val="false"/>
          <w:i w:val="false"/>
          <w:sz w:val="20"/>
        </w:rPr>
        <w:t/>
      </w:r>
    </w:p>
    <w:p>
      <w:pPr>
        <w:pStyle w:val="ab"/>
        <w:numPr>
          <w:numId w:val="25"/>
        </w:numPr>
      </w:pPr>
      <w:r>
        <w:t>01:36:10 2026年目标与公司2.0战略分享</w:t>
      </w:r>
    </w:p>
    <w:p>
      <w:r>
        <w:rPr>
          <w:rFonts w:ascii="等线(中文正文)" w:hAnsi="等线(中文正文)" w:cs="等线(中文正文)" w:eastAsia="等线(中文正文)"/>
          <w:b w:val="false"/>
          <w:i w:val="false"/>
          <w:sz w:val="20"/>
        </w:rPr>
        <w:t>会议讨论了公司2026年实现2.0目标的重要性，包括药品上市、国际化商业化、销售提升、临床研究进展、创新管线开发及BD活动。强调了与投资者的沟通和未来路演安排，期待公司商业化成果。</w:t>
      </w:r>
    </w:p>
    <w:p>
      <w:r>
        <w:rPr>
          <w:rFonts w:ascii="等线(中文正文)" w:hAnsi="等线(中文正文)" w:cs="等线(中文正文)" w:eastAsia="等线(中文正文)"/>
          <w:b w:val="false"/>
          <w:i w:val="false"/>
          <w:sz w:val="20"/>
        </w:rPr>
        <w:t/>
      </w:r>
    </w:p>
    <w:p>
      <w:pPr>
        <w:pStyle w:val="a7"/>
      </w:pPr>
      <w:r>
        <w:t>发言总结</w:t>
      </w:r>
    </w:p>
    <w:p>
      <w:pPr>
        <w:pStyle w:val="ab"/>
        <w:numPr>
          <w:numId w:val="26"/>
        </w:numPr>
      </w:pPr>
      <w:r>
        <w:t>发言人1</w:t>
      </w:r>
    </w:p>
    <w:p>
      <w:r>
        <w:rPr>
          <w:rFonts w:ascii="等线(中文正文)" w:hAnsi="等线(中文正文)" w:cs="等线(中文正文)" w:eastAsia="等线(中文正文)"/>
          <w:b w:val="false"/>
          <w:i w:val="false"/>
          <w:sz w:val="20"/>
        </w:rPr>
        <w:t>概述了公司在皮肤科治疗领域的布局和广阔市场空间，强调了两大产品的商业化进展。他/她提及研发投入预计未来两三年增长15%到20%，并强调了与西湖大学的合作及奥布替尼在血液瘤治疗方面的突破。此外，他详细介绍了公司产品研发、商业化、财务表现及国际布局的成就，特别提到了在血液肿瘤、自身免疫疾病和实体肿瘤领域的创新与进展。他/她还详细介绍了公司产品研发的最新进展，包括新药的临床试验、NDA提交和监管批准情况。在商业化方面，他强调了公司强劲的营收增长、全球市场布局和与国际合作伙伴的合作。财务表现上，他展示了公司2026年上半年的财务数据，凸显了公司财务状况的稳健和盈利能力的增强。最后，他提到了公司在全球推进新药研发和临床试验的计划，展现了公司国际化发展的决心和行动。</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问：公司当前的商业化增长情况如何？</w:t>
      </w:r>
    </w:p>
    <w:p>
      <w:r>
        <w:rPr>
          <w:rFonts w:ascii="等线(中文正文)" w:hAnsi="等线(中文正文)" w:cs="等线(中文正文)" w:eastAsia="等线(中文正文)"/>
          <w:b w:val="false"/>
          <w:i w:val="false"/>
          <w:sz w:val="20"/>
        </w:rPr>
        <w:t>发言人1 答：公司持续保持强劲的商业化增长势头，同比增长2%，净利润达人民币2.4亿元，实现持续盈利并保持良好的盈利增长。截至6月底，公司现金储备为人民币84亿元，现金状况稳健，为持续加大研发投入和推进全球化提供了充足的资源支持。</w:t>
      </w:r>
    </w:p>
    <w:p>
      <w:r>
        <w:rPr>
          <w:rFonts w:ascii="等线(中文正文)" w:hAnsi="等线(中文正文)" w:cs="等线(中文正文)" w:eastAsia="等线(中文正文)"/>
          <w:b w:val="false"/>
          <w:i w:val="false"/>
          <w:sz w:val="20"/>
        </w:rPr>
        <w:t/>
      </w:r>
    </w:p>
    <w:p>
      <w:pPr>
        <w:pStyle w:val="ab"/>
      </w:pPr>
      <w:r>
        <w:t>发言人1 问：在研发方面，公司取得了哪些重大进展？</w:t>
      </w:r>
    </w:p>
    <w:p>
      <w:r>
        <w:rPr>
          <w:rFonts w:ascii="等线(中文正文)" w:hAnsi="等线(中文正文)" w:cs="等线(中文正文)" w:eastAsia="等线(中文正文)"/>
          <w:b w:val="false"/>
          <w:i w:val="false"/>
          <w:sz w:val="20"/>
        </w:rPr>
        <w:t>发言人1 答：在研发方面，我们获得了奥布替尼在澳大利亚用于治疗复发男子MCL的NDA批准，并提交了奥布替尼用于治疗ITP以及索莱曲提尼用于治疗HRK阳性儿童患者的两项NDA。同时，332治疗特性皮炎和488治疗银屑病的三期临床研究达到终点，启动了三项新的三期临床研究，包括奥布替尼治疗SLEM class、联合奥布替尼治疗复发难治MCL以及摩西class联合阿扎包干对比维奈克拉联合阿扎包干的初次的AML。此外，332治疗白癜风达到终点，b seven h4ADC项目也展现出初步疗效，并提交了四项新的IND申请，其中三项已推进至临床阶段。</w:t>
      </w:r>
    </w:p>
    <w:p>
      <w:r>
        <w:rPr>
          <w:rFonts w:ascii="等线(中文正文)" w:hAnsi="等线(中文正文)" w:cs="等线(中文正文)" w:eastAsia="等线(中文正文)"/>
          <w:b w:val="false"/>
          <w:i w:val="false"/>
          <w:sz w:val="20"/>
        </w:rPr>
        <w:t/>
      </w:r>
    </w:p>
    <w:p>
      <w:pPr>
        <w:pStyle w:val="ab"/>
      </w:pPr>
      <w:r>
        <w:t>发言人1 问：公司的肿瘤创新管线布局如何？</w:t>
      </w:r>
    </w:p>
    <w:p>
      <w:r>
        <w:rPr>
          <w:rFonts w:ascii="等线(中文正文)" w:hAnsi="等线(中文正文)" w:cs="等线(中文正文)" w:eastAsia="等线(中文正文)"/>
          <w:b w:val="false"/>
          <w:i w:val="false"/>
          <w:sz w:val="20"/>
        </w:rPr>
        <w:t>发言人1 答：公司持续加强血液肿瘤和实体肿瘤两大领域的布局，已形成多款商业化产品及多个关键临床阶段的创新管线。在血液肿瘤领域，奥布替尼在中国一线治疗小淋巴细胞淋巴瘤适应症获批并纳入国家医保目录，在海外已获批用于治疗复发难治MCL，且有多个适应症在推进中。在实体瘤领域，索莱曲奇已在N7RK阳性肿瘤领域建立商业化基础，下一代ABC管线快速推进，b seven and three ADC剂量递增研究也取得初步疗效，CDH seventeen c进入临床研究，此外还介绍了新的双卡ABC项目ICPB381，具有治疗前列腺癌的巨大潜力。</w:t>
      </w:r>
    </w:p>
    <w:p>
      <w:r>
        <w:rPr>
          <w:rFonts w:ascii="等线(中文正文)" w:hAnsi="等线(中文正文)" w:cs="等线(中文正文)" w:eastAsia="等线(中文正文)"/>
          <w:b w:val="false"/>
          <w:i w:val="false"/>
          <w:sz w:val="20"/>
        </w:rPr>
        <w:t/>
      </w:r>
    </w:p>
    <w:p>
      <w:pPr>
        <w:pStyle w:val="ab"/>
      </w:pPr>
      <w:r>
        <w:t>发言人1 问：自身免疫疾病的创新管线进展如何？</w:t>
      </w:r>
    </w:p>
    <w:p>
      <w:r>
        <w:rPr>
          <w:rFonts w:ascii="等线(中文正文)" w:hAnsi="等线(中文正文)" w:cs="等线(中文正文)" w:eastAsia="等线(中文正文)"/>
          <w:b w:val="false"/>
          <w:i w:val="false"/>
          <w:sz w:val="20"/>
        </w:rPr>
        <w:t>发言人1 答：正在推动一个广泛且日益差异化的创新管线加速迈向商业化，并持续布局具有first in class潜力的新一代创新资产。例如，阿布基尼在多个自身免疫性疾病领域拓展，ITP适应症NDA已获受理，SLE三期注射性临床快速推进，同时与zeno s8F合作推进全球治疗PPMS和STMS的3期临床研究。此外，332、488等项目在特性皮炎、银屑病、皮肤性狼疮等多个适应症上取得重要临床进展。</w:t>
      </w:r>
    </w:p>
    <w:p>
      <w:r>
        <w:rPr>
          <w:rFonts w:ascii="等线(中文正文)" w:hAnsi="等线(中文正文)" w:cs="等线(中文正文)" w:eastAsia="等线(中文正文)"/>
          <w:b w:val="false"/>
          <w:i w:val="false"/>
          <w:sz w:val="20"/>
        </w:rPr>
        <w:t/>
      </w:r>
    </w:p>
    <w:p>
      <w:pPr>
        <w:pStyle w:val="ab"/>
      </w:pPr>
      <w:r>
        <w:t>发言人1 问：公司的财务和商业化数据表现如何？</w:t>
      </w:r>
    </w:p>
    <w:p>
      <w:r>
        <w:rPr>
          <w:rFonts w:ascii="等线(中文正文)" w:hAnsi="等线(中文正文)" w:cs="等线(中文正文)" w:eastAsia="等线(中文正文)"/>
          <w:b w:val="false"/>
          <w:i w:val="false"/>
          <w:sz w:val="20"/>
        </w:rPr>
        <w:t>发言人1 答：2026年上半年，公司实现了非常强劲的财务表现，总营收达到人民币11.4亿元，同比增长55.5%。药品销售强劲及BD里程碑收入确认是增长的主要原因。净利润为2.4亿元人民币，保持良好盈利状态，稀释每股收益达到0.141元。研发费用为4.97亿元，同比增长10.5%，资金主要用于后期临床管线开发和创新技术平台构建。截至2026年6月30日，现金及相关账户总额约为84.3亿元人民币，经营性现金流为正，充足的现金储备为未来投资提供了灵活性。此外，公司拥有三款商业化产品，销售增长迅速，预计全年销售增速将超过35%。</w:t>
      </w:r>
    </w:p>
    <w:p>
      <w:r>
        <w:rPr>
          <w:rFonts w:ascii="等线(中文正文)" w:hAnsi="等线(中文正文)" w:cs="等线(中文正文)" w:eastAsia="等线(中文正文)"/>
          <w:b w:val="false"/>
          <w:i w:val="false"/>
          <w:sz w:val="20"/>
        </w:rPr>
        <w:t/>
      </w:r>
    </w:p>
    <w:p>
      <w:pPr>
        <w:pStyle w:val="ab"/>
      </w:pPr>
      <w:r>
        <w:t>发言人1 问：维奈克拉针对MDS适应症的三期临床试验结果如何？蒙斯卢卡斯联合阿扎胞苷方案在MDS中的表现如何？</w:t>
      </w:r>
    </w:p>
    <w:p>
      <w:r>
        <w:rPr>
          <w:rFonts w:ascii="等线(中文正文)" w:hAnsi="等线(中文正文)" w:cs="等线(中文正文)" w:eastAsia="等线(中文正文)"/>
          <w:b w:val="false"/>
          <w:i w:val="false"/>
          <w:sz w:val="20"/>
        </w:rPr>
        <w:t>发言人1 答：维奈克拉针对MDS适应症的三期临床试验没有达到预设终点。蒙斯卢卡斯联合阿扎胞苷方案在临床上展现出亮眼的初步疗效，客观缓解率高达100%，完全缓解率40%，骨髓完全缓解率60%。</w:t>
      </w:r>
    </w:p>
    <w:p>
      <w:r>
        <w:rPr>
          <w:rFonts w:ascii="等线(中文正文)" w:hAnsi="等线(中文正文)" w:cs="等线(中文正文)" w:eastAsia="等线(中文正文)"/>
          <w:b w:val="false"/>
          <w:i w:val="false"/>
          <w:sz w:val="20"/>
        </w:rPr>
        <w:t/>
      </w:r>
    </w:p>
    <w:p>
      <w:pPr>
        <w:pStyle w:val="ab"/>
      </w:pPr>
      <w:r>
        <w:t>发言人1 问：对于MBS适应症的研发前景有何看法？</w:t>
      </w:r>
    </w:p>
    <w:p>
      <w:r>
        <w:rPr>
          <w:rFonts w:ascii="等线(中文正文)" w:hAnsi="等线(中文正文)" w:cs="等线(中文正文)" w:eastAsia="等线(中文正文)"/>
          <w:b w:val="false"/>
          <w:i w:val="false"/>
          <w:sz w:val="20"/>
        </w:rPr>
        <w:t>发言人1 答：对该适应症的研发前景充满信心，相关数据已在S所大会上公布，并且在多个适应症如淋巴瘤、髓系白血病、骨髓增生异常综合症等方面展现出了强劲且差异化的疗效，临床价值广阔，管线开发前景优异。</w:t>
      </w:r>
    </w:p>
    <w:p>
      <w:r>
        <w:rPr>
          <w:rFonts w:ascii="等线(中文正文)" w:hAnsi="等线(中文正文)" w:cs="等线(中文正文)" w:eastAsia="等线(中文正文)"/>
          <w:b w:val="false"/>
          <w:i w:val="false"/>
          <w:sz w:val="20"/>
        </w:rPr>
        <w:t/>
      </w:r>
    </w:p>
    <w:p>
      <w:pPr>
        <w:pStyle w:val="ab"/>
      </w:pPr>
      <w:r>
        <w:t>发言人1 问：公司即将开展的AML适应症三期临床实验具体情况是什么？</w:t>
      </w:r>
    </w:p>
    <w:p>
      <w:r>
        <w:rPr>
          <w:rFonts w:ascii="等线(中文正文)" w:hAnsi="等线(中文正文)" w:cs="等线(中文正文)" w:eastAsia="等线(中文正文)"/>
          <w:b w:val="false"/>
          <w:i w:val="false"/>
          <w:sz w:val="20"/>
        </w:rPr>
        <w:t>发言人1 答：公司即将启动一个随机对照的三期临床实验，对比莫斯六联合阿扎胞苷与临床标准治疗方案（panobinostat联合阿扎胞苷）的效果，主要关注总体生存期（OS）、完全缓解率和MRD阴性率等关键指标。</w:t>
      </w:r>
    </w:p>
    <w:p>
      <w:r>
        <w:rPr>
          <w:rFonts w:ascii="等线(中文正文)" w:hAnsi="等线(中文正文)" w:cs="等线(中文正文)" w:eastAsia="等线(中文正文)"/>
          <w:b w:val="false"/>
          <w:i w:val="false"/>
          <w:sz w:val="20"/>
        </w:rPr>
        <w:t/>
      </w:r>
    </w:p>
    <w:p>
      <w:pPr>
        <w:pStyle w:val="ab"/>
      </w:pPr>
      <w:r>
        <w:t>发言人1 问：matsuo cuts在市场上的潜力及公司对其发展的规划是什么？</w:t>
      </w:r>
    </w:p>
    <w:p>
      <w:r>
        <w:rPr>
          <w:rFonts w:ascii="等线(中文正文)" w:hAnsi="等线(中文正文)" w:cs="等线(中文正文)" w:eastAsia="等线(中文正文)"/>
          <w:b w:val="false"/>
          <w:i w:val="false"/>
          <w:sz w:val="20"/>
        </w:rPr>
        <w:t>发言人1 答：matsuo cuts具有非常巨大的市场潜力，总市场空间可超过200亿美金。公司将全力以赴推进临床研究，使其尽快获批上市。</w:t>
      </w:r>
    </w:p>
    <w:p>
      <w:r>
        <w:rPr>
          <w:rFonts w:ascii="等线(中文正文)" w:hAnsi="等线(中文正文)" w:cs="等线(中文正文)" w:eastAsia="等线(中文正文)"/>
          <w:b w:val="false"/>
          <w:i w:val="false"/>
          <w:sz w:val="20"/>
        </w:rPr>
        <w:t/>
      </w:r>
    </w:p>
    <w:p>
      <w:pPr>
        <w:pStyle w:val="ab"/>
      </w:pPr>
      <w:r>
        <w:t>发言人1 问：洛城建华四年管线近期有哪些关键里程碑事件？</w:t>
      </w:r>
    </w:p>
    <w:p>
      <w:r>
        <w:rPr>
          <w:rFonts w:ascii="等线(中文正文)" w:hAnsi="等线(中文正文)" w:cs="等线(中文正文)" w:eastAsia="等线(中文正文)"/>
          <w:b w:val="false"/>
          <w:i w:val="false"/>
          <w:sz w:val="20"/>
        </w:rPr>
        <w:t>发言人1 答：奥布替尼治疗ITP的NDA已获受理，SLE已进入注册器注册三期临床；B3 us合作的两项适应症PPMS和SPMS推进三期临床研究；首发city ICP332在皮炎促进三期达到主要终点，全球尚无此类制剂获批，有望成为同类首创。</w:t>
      </w:r>
    </w:p>
    <w:p>
      <w:r>
        <w:rPr>
          <w:rFonts w:ascii="等线(中文正文)" w:hAnsi="等线(中文正文)" w:cs="等线(中文正文)" w:eastAsia="等线(中文正文)"/>
          <w:b w:val="false"/>
          <w:i w:val="false"/>
          <w:sz w:val="20"/>
        </w:rPr>
        <w:t/>
      </w:r>
    </w:p>
    <w:p>
      <w:pPr>
        <w:pStyle w:val="ab"/>
      </w:pPr>
      <w:r>
        <w:t>发言人1 问：早期管线中的ICP538和ICP054有何进展？</w:t>
      </w:r>
    </w:p>
    <w:p>
      <w:r>
        <w:rPr>
          <w:rFonts w:ascii="等线(中文正文)" w:hAnsi="等线(中文正文)" w:cs="等线(中文正文)" w:eastAsia="等线(中文正文)"/>
          <w:b w:val="false"/>
          <w:i w:val="false"/>
          <w:sz w:val="20"/>
        </w:rPr>
        <w:t>发言人1 答：ICP538为首个全球第二个进入临床的VV one分子胶降解剂，ICP054是口服白介十七抑制剂，目前处于一期临床阶段，并已与纳斯达成全球合作，构建出差异化竞争力突出的管线。</w:t>
      </w:r>
    </w:p>
    <w:p>
      <w:r>
        <w:rPr>
          <w:rFonts w:ascii="等线(中文正文)" w:hAnsi="等线(中文正文)" w:cs="等线(中文正文)" w:eastAsia="等线(中文正文)"/>
          <w:b w:val="false"/>
          <w:i w:val="false"/>
          <w:sz w:val="20"/>
        </w:rPr>
        <w:t/>
      </w:r>
    </w:p>
    <w:p>
      <w:pPr>
        <w:pStyle w:val="ab"/>
      </w:pPr>
      <w:r>
        <w:t>发言人1 问：奥布替尼在ITP和SLE领域的进展如何？</w:t>
      </w:r>
    </w:p>
    <w:p>
      <w:r>
        <w:rPr>
          <w:rFonts w:ascii="等线(中文正文)" w:hAnsi="等线(中文正文)" w:cs="等线(中文正文)" w:eastAsia="等线(中文正文)"/>
          <w:b w:val="false"/>
          <w:i w:val="false"/>
          <w:sz w:val="20"/>
        </w:rPr>
        <w:t>发言人1 答：奥布替尼治疗ITP的NDA已获受理，SLE领域是首个在二期临床中验证BTK抑制剂疗效的药物，已挺进三期，面向约800万狼疮患者，前景广阔。</w:t>
      </w:r>
    </w:p>
    <w:p>
      <w:r>
        <w:rPr>
          <w:rFonts w:ascii="等线(中文正文)" w:hAnsi="等线(中文正文)" w:cs="等线(中文正文)" w:eastAsia="等线(中文正文)"/>
          <w:b w:val="false"/>
          <w:i w:val="false"/>
          <w:sz w:val="20"/>
        </w:rPr>
        <w:t/>
      </w:r>
    </w:p>
    <w:p>
      <w:pPr>
        <w:pStyle w:val="ab"/>
      </w:pPr>
      <w:r>
        <w:t>发言人1 问：对于中国ITP患者群体以及奥布替尼的市场需求有何看法？</w:t>
      </w:r>
    </w:p>
    <w:p>
      <w:r>
        <w:rPr>
          <w:rFonts w:ascii="等线(中文正文)" w:hAnsi="等线(中文正文)" w:cs="等线(中文正文)" w:eastAsia="等线(中文正文)"/>
          <w:b w:val="false"/>
          <w:i w:val="false"/>
          <w:sz w:val="20"/>
        </w:rPr>
        <w:t>发言人1 答：中国ITP慢性患者约有30万例，尽管有多种治疗选择，但大多数患者仍面临复发和生活质量下降的问题。奥布替尼作为高选择性口服BTK抑制剂，有望成为持久、安全、便捷的解决方案，其NDA已正式递交并被CDE受理。</w:t>
      </w:r>
    </w:p>
    <w:p>
      <w:r>
        <w:rPr>
          <w:rFonts w:ascii="等线(中文正文)" w:hAnsi="等线(中文正文)" w:cs="等线(中文正文)" w:eastAsia="等线(中文正文)"/>
          <w:b w:val="false"/>
          <w:i w:val="false"/>
          <w:sz w:val="20"/>
        </w:rPr>
        <w:t/>
      </w:r>
    </w:p>
    <w:p>
      <w:pPr>
        <w:pStyle w:val="ab"/>
      </w:pPr>
      <w:r>
        <w:t>发言人1 问：公司对SLE治疗方案有何独特之处及市场预期？</w:t>
      </w:r>
    </w:p>
    <w:p>
      <w:r>
        <w:rPr>
          <w:rFonts w:ascii="等线(中文正文)" w:hAnsi="等线(中文正文)" w:cs="等线(中文正文)" w:eastAsia="等线(中文正文)"/>
          <w:b w:val="false"/>
          <w:i w:val="false"/>
          <w:sz w:val="20"/>
        </w:rPr>
        <w:t>发言人1 答：奥布替尼作为高选择性口服BTK抑制剂，能从源头抑制B细胞异常活化及抗体产生，预计全球SLE生物制剂市场超过30亿美元，随着口服可及性更高的替代方案出现，市场机遇有望显著扩容。</w:t>
      </w:r>
    </w:p>
    <w:p>
      <w:r>
        <w:rPr>
          <w:rFonts w:ascii="等线(中文正文)" w:hAnsi="等线(中文正文)" w:cs="等线(中文正文)" w:eastAsia="等线(中文正文)"/>
          <w:b w:val="false"/>
          <w:i w:val="false"/>
          <w:sz w:val="20"/>
        </w:rPr>
        <w:t/>
      </w:r>
    </w:p>
    <w:p>
      <w:pPr>
        <w:pStyle w:val="ab"/>
      </w:pPr>
      <w:r>
        <w:t>发言人1 问：ICP332在特异性皮炎和白癜风适应症的研究情况如何？</w:t>
      </w:r>
    </w:p>
    <w:p>
      <w:r>
        <w:rPr>
          <w:rFonts w:ascii="等线(中文正文)" w:hAnsi="等线(中文正文)" w:cs="等线(中文正文)" w:eastAsia="等线(中文正文)"/>
          <w:b w:val="false"/>
          <w:i w:val="false"/>
          <w:sz w:val="20"/>
        </w:rPr>
        <w:t>发言人1 答：ICP332在特异性皮炎二期研究中表现出卓越疗效，超越现有生物抑制剂，并在白癜风二期研究中也取得积极结果，有望进入关键性注册临床阶段，相关适应症市场规模庞大，前景广阔。</w:t>
      </w:r>
    </w:p>
    <w:p>
      <w:r>
        <w:rPr>
          <w:rFonts w:ascii="等线(中文正文)" w:hAnsi="等线(中文正文)" w:cs="等线(中文正文)" w:eastAsia="等线(中文正文)"/>
          <w:b w:val="false"/>
          <w:i w:val="false"/>
          <w:sz w:val="20"/>
        </w:rPr>
        <w:t/>
      </w:r>
    </w:p>
    <w:p>
      <w:pPr>
        <w:pStyle w:val="ab"/>
      </w:pPr>
      <w:r>
        <w:t>发言人1 问：我们看到奥布替尼放量是非常迅速的，想请教一下目前MZL跟CL的一个占比，以及全收入目标是否维持？我们全年股权激励目标是实际的收入还是比较ambitious？想请教完成全年目标的信心，以及目前一些核心管线的经济进展？</w:t>
      </w:r>
    </w:p>
    <w:p>
      <w:r>
        <w:rPr>
          <w:rFonts w:ascii="等线(中文正文)" w:hAnsi="等线(中文正文)" w:cs="等线(中文正文)" w:eastAsia="等线(中文正文)"/>
          <w:b w:val="false"/>
          <w:i w:val="false"/>
          <w:sz w:val="20"/>
        </w:rPr>
        <w:t>发言人1 答：目前奥布替尼今年增长率非常好，年初给的指引是奥布汀增长30%以上，全部商业化管线增长35%以上。从上半年结果来看，这两个目标均被超越完成，其中奥布替尼是我们重要的收入来源。今年得益于几个因素，包括奥布替尼一线边缘区淋巴瘤获批并纳入国家医保，以及适应症拓展显著增加患者目标人群；同时，我们拥有在中国唯一治疗边缘区淋巴瘤的BDK抑制剂的独特优势，且随着商业化下沉发力，会覆盖更多医院和二三线城市患者。因此，我们有信心奥布利今年能完成30%以上的增长，同时实现35%以上商业化的收入增长目标。关于全年股权激励目标，我们非常有信心保持持续盈利，展现公司商业化增长的强大动力和可持续性。在核心管线方面，除了奥布替尼的强劲表现，BCL2抑制剂mosto class和两款take two抑制剂已进入注册临床阶段并完成注册临床研究。后期产品方面，国际合作洽谈进展积极，包括BCL2抑制剂在AML和MDS适应症上展现出优异疗效和安全性，以及SCP332在全球范围内的临床开发计划。对于国际市场，诺盛天华正在进行国际化布局，包括自主推动国际研究和与BD的合作，尽管BD协议的签署存在不确定性，但我们对今年实现盈利充满信心。</w:t>
      </w:r>
    </w:p>
    <w:p>
      <w:r>
        <w:rPr>
          <w:rFonts w:ascii="等线(中文正文)" w:hAnsi="等线(中文正文)" w:cs="等线(中文正文)" w:eastAsia="等线(中文正文)"/>
          <w:b w:val="false"/>
          <w:i w:val="false"/>
          <w:sz w:val="20"/>
        </w:rPr>
        <w:t/>
      </w:r>
    </w:p>
    <w:p>
      <w:pPr>
        <w:pStyle w:val="ab"/>
      </w:pPr>
      <w:r>
        <w:t>发言人1 问：PPMS和SPMS的临床试验进展如何？</w:t>
      </w:r>
    </w:p>
    <w:p>
      <w:r>
        <w:rPr>
          <w:rFonts w:ascii="等线(中文正文)" w:hAnsi="等线(中文正文)" w:cs="等线(中文正文)" w:eastAsia="等线(中文正文)"/>
          <w:b w:val="false"/>
          <w:i w:val="false"/>
          <w:sz w:val="20"/>
        </w:rPr>
        <w:t>发言人1 答：PPMS已经在快速入组中，预计需要2到3年才能看到临床结果。SPMS方面也已开始筛选患者并入组，但入组周期较长，类似于RMS药物的研发。</w:t>
      </w:r>
    </w:p>
    <w:p>
      <w:r>
        <w:rPr>
          <w:rFonts w:ascii="等线(中文正文)" w:hAnsi="等线(中文正文)" w:cs="等线(中文正文)" w:eastAsia="等线(中文正文)"/>
          <w:b w:val="false"/>
          <w:i w:val="false"/>
          <w:sz w:val="20"/>
        </w:rPr>
        <w:t/>
      </w:r>
    </w:p>
    <w:p>
      <w:pPr>
        <w:pStyle w:val="ab"/>
      </w:pPr>
      <w:r>
        <w:t>发言人1 问：目前在MS治疗领域的药物格局是什么样的？</w:t>
      </w:r>
    </w:p>
    <w:p>
      <w:r>
        <w:rPr>
          <w:rFonts w:ascii="等线(中文正文)" w:hAnsi="等线(中文正文)" w:cs="等线(中文正文)" w:eastAsia="等线(中文正文)"/>
          <w:b w:val="false"/>
          <w:i w:val="false"/>
          <w:sz w:val="20"/>
        </w:rPr>
        <w:t>发言人1 答：RMS已有二十多个药物上市，其中CD20单抗是较新的进展且市场份额较大。而在PPMS和SPMS领域，特别是SPMS，目前尚未有显著治疗进展和新药推出。</w:t>
      </w:r>
    </w:p>
    <w:p>
      <w:r>
        <w:rPr>
          <w:rFonts w:ascii="等线(中文正文)" w:hAnsi="等线(中文正文)" w:cs="等线(中文正文)" w:eastAsia="等线(中文正文)"/>
          <w:b w:val="false"/>
          <w:i w:val="false"/>
          <w:sz w:val="20"/>
        </w:rPr>
        <w:t/>
      </w:r>
    </w:p>
    <w:p>
      <w:pPr>
        <w:pStyle w:val="ab"/>
      </w:pPr>
      <w:r>
        <w:t>发言人1 问：BDK抑制剂在PPMS和SPMS领域的最新进展是什么？</w:t>
      </w:r>
    </w:p>
    <w:p>
      <w:r>
        <w:rPr>
          <w:rFonts w:ascii="等线(中文正文)" w:hAnsi="等线(中文正文)" w:cs="等线(中文正文)" w:eastAsia="等线(中文正文)"/>
          <w:b w:val="false"/>
          <w:i w:val="false"/>
          <w:sz w:val="20"/>
        </w:rPr>
        <w:t>发言人1 答：一个BDK抑制剂在PPMS方面达到了临床三期终点，但具体申报情况还不清楚；在SPMS领域也达到了临床终点，并在欧洲申报积极。</w:t>
      </w:r>
    </w:p>
    <w:p>
      <w:r>
        <w:rPr>
          <w:rFonts w:ascii="等线(中文正文)" w:hAnsi="等线(中文正文)" w:cs="等线(中文正文)" w:eastAsia="等线(中文正文)"/>
          <w:b w:val="false"/>
          <w:i w:val="false"/>
          <w:sz w:val="20"/>
        </w:rPr>
        <w:t/>
      </w:r>
    </w:p>
    <w:p>
      <w:pPr>
        <w:pStyle w:val="ab"/>
      </w:pPr>
      <w:r>
        <w:t>发言人1 问：奥布替尼相较于其他药物的优势体现在哪些方面？</w:t>
      </w:r>
    </w:p>
    <w:p>
      <w:r>
        <w:rPr>
          <w:rFonts w:ascii="等线(中文正文)" w:hAnsi="等线(中文正文)" w:cs="等线(中文正文)" w:eastAsia="等线(中文正文)"/>
          <w:b w:val="false"/>
          <w:i w:val="false"/>
          <w:sz w:val="20"/>
        </w:rPr>
        <w:t>发言人1 答：奥布替尼在预防、健脑方面选择性更强，在系统性安全性方面表现更好，并且针对肿瘤治疗效果也很好，有望在适应症中体现为best in class药物。</w:t>
      </w:r>
    </w:p>
    <w:p>
      <w:r>
        <w:rPr>
          <w:rFonts w:ascii="等线(中文正文)" w:hAnsi="等线(中文正文)" w:cs="等线(中文正文)" w:eastAsia="等线(中文正文)"/>
          <w:b w:val="false"/>
          <w:i w:val="false"/>
          <w:sz w:val="20"/>
        </w:rPr>
        <w:t/>
      </w:r>
    </w:p>
    <w:p>
      <w:pPr>
        <w:pStyle w:val="ab"/>
      </w:pPr>
      <w:r>
        <w:t>发言人1 问：BCL2抑制剂的三期临床实验是仅限中国开展还是全球多地区？</w:t>
      </w:r>
    </w:p>
    <w:p>
      <w:r>
        <w:rPr>
          <w:rFonts w:ascii="等线(中文正文)" w:hAnsi="等线(中文正文)" w:cs="等线(中文正文)" w:eastAsia="等线(中文正文)"/>
          <w:b w:val="false"/>
          <w:i w:val="false"/>
          <w:sz w:val="20"/>
        </w:rPr>
        <w:t>发言人1 答：关于BCL2抑制剂的三期临床实验，一线ML的主要终点是OS，同时也会关注MRD率等次要终点。关于AML适应症，将在中国启动三期临床实验，而BCL2抑制剂是公司重点开发的品种，在血液肿瘤领域进展显著。</w:t>
      </w:r>
    </w:p>
    <w:p>
      <w:r>
        <w:rPr>
          <w:rFonts w:ascii="等线(中文正文)" w:hAnsi="等线(中文正文)" w:cs="等线(中文正文)" w:eastAsia="等线(中文正文)"/>
          <w:b w:val="false"/>
          <w:i w:val="false"/>
          <w:sz w:val="20"/>
        </w:rPr>
        <w:t/>
      </w:r>
    </w:p>
    <w:p>
      <w:pPr>
        <w:pStyle w:val="ab"/>
      </w:pPr>
      <w:r>
        <w:t>发言人1 问：对于BCL2和Tafinlar组合在不同适应症上的规划和进展？</w:t>
      </w:r>
    </w:p>
    <w:p>
      <w:r>
        <w:rPr>
          <w:rFonts w:ascii="等线(中文正文)" w:hAnsi="等线(中文正文)" w:cs="等线(中文正文)" w:eastAsia="等线(中文正文)"/>
          <w:b w:val="false"/>
          <w:i w:val="false"/>
          <w:sz w:val="20"/>
        </w:rPr>
        <w:t>发言人1 答：BCL2抑制剂在中国有两个注册实验，分别针对一线联合用药和套细胞淋巴瘤，预计明年上半年能提交上市申请。同时，正在启动与维奈克拉的头对头三期临床实验，并基于全球数据规划后续全球开发策略。</w:t>
      </w:r>
    </w:p>
    <w:p>
      <w:r>
        <w:rPr>
          <w:rFonts w:ascii="等线(中文正文)" w:hAnsi="等线(中文正文)" w:cs="等线(中文正文)" w:eastAsia="等线(中文正文)"/>
          <w:b w:val="false"/>
          <w:i w:val="false"/>
          <w:sz w:val="20"/>
        </w:rPr>
        <w:t/>
      </w:r>
    </w:p>
    <w:p>
      <w:pPr>
        <w:pStyle w:val="ab"/>
      </w:pPr>
      <w:r>
        <w:t>发言人1 问：公司两款Tik-Tok药物未来的上市计划、数据披露以及商业化团队组建情况如何？</w:t>
      </w:r>
    </w:p>
    <w:p>
      <w:r>
        <w:rPr>
          <w:rFonts w:ascii="等线(中文正文)" w:hAnsi="等线(中文正文)" w:cs="等线(中文正文)" w:eastAsia="等线(中文正文)"/>
          <w:b w:val="false"/>
          <w:i w:val="false"/>
          <w:sz w:val="20"/>
        </w:rPr>
        <w:t>发言人1 答：两款Tik-Tok药物中，332488预计在2027年上半年完成临床研究并提交上市申请，未来2-3年内希望获批上市至少5个大适应症。商业化团队目前主要集中在血液肿瘤和部分实体肿瘤领域，计划为332488组建专门的皮肤科自身免疫性疾病商业化团队，并考虑第二批适应症的研发和商业化。对于488，将探索更广泛适应症及与其他免疫制剂的联合治疗。</w:t>
      </w:r>
    </w:p>
    <w:p>
      <w:r>
        <w:rPr>
          <w:rFonts w:ascii="等线(中文正文)" w:hAnsi="等线(中文正文)" w:cs="等线(中文正文)" w:eastAsia="等线(中文正文)"/>
          <w:b w:val="false"/>
          <w:i w:val="false"/>
          <w:sz w:val="20"/>
        </w:rPr>
        <w:t/>
      </w:r>
    </w:p>
    <w:p>
      <w:pPr>
        <w:pStyle w:val="ab"/>
      </w:pPr>
      <w:r>
        <w:t>发言人1 问：关于332针对白癜风的数据以及未来在该领域的全球竞争格局评估？</w:t>
      </w:r>
    </w:p>
    <w:p>
      <w:r>
        <w:rPr>
          <w:rFonts w:ascii="等线(中文正文)" w:hAnsi="等线(中文正文)" w:cs="等线(中文正文)" w:eastAsia="等线(中文正文)"/>
          <w:b w:val="false"/>
          <w:i w:val="false"/>
          <w:sz w:val="20"/>
        </w:rPr>
        <w:t>发言人1 答：332的二期主要研究结果将在适当时候公布，其基线改善百分比具有一定优势。关于全球竞争格局，罗氏和诺华是主要竞争对手，但各自在RMS和PPMS领域的进展不一。诺华的BTK抑制剂虽在RMS领域取得一定进展，但在SPMS领域尚未看到直接竞争关系。对于未来竞争态势，还需等待各公司发布的临床数据进一步分析。</w:t>
      </w:r>
    </w:p>
    <w:p>
      <w:r>
        <w:rPr>
          <w:rFonts w:ascii="等线(中文正文)" w:hAnsi="等线(中文正文)" w:cs="等线(中文正文)" w:eastAsia="等线(中文正文)"/>
          <w:b w:val="false"/>
          <w:i w:val="false"/>
          <w:sz w:val="20"/>
        </w:rPr>
        <w:t/>
      </w:r>
    </w:p>
    <w:p>
      <w:pPr>
        <w:pStyle w:val="ab"/>
      </w:pPr>
      <w:r>
        <w:t>发言人1 问：在A这个差异化的AC平台搭建上，你们有哪些优势？</w:t>
      </w:r>
    </w:p>
    <w:p>
      <w:r>
        <w:rPr>
          <w:rFonts w:ascii="等线(中文正文)" w:hAnsi="等线(中文正文)" w:cs="等线(中文正文)" w:eastAsia="等线(中文正文)"/>
          <w:b w:val="false"/>
          <w:i w:val="false"/>
          <w:sz w:val="20"/>
        </w:rPr>
        <w:t>发言人1 答：我们在A这个差异化的AC平台搭建上有几点优势，包括从三个主要股份进行优化的连接头、连接子和配偶。目前通过临床数据来看，这些优化措施已经得到了验证，认为该平台在药效上具有优势，同时安全性问题也不明显，有望应用于多个靶点的管线。目前我们已从单靶点的ABC进展到双靶点的ABC。</w:t>
      </w:r>
    </w:p>
    <w:p>
      <w:r>
        <w:rPr>
          <w:rFonts w:ascii="等线(中文正文)" w:hAnsi="等线(中文正文)" w:cs="等线(中文正文)" w:eastAsia="等线(中文正文)"/>
          <w:b w:val="false"/>
          <w:i w:val="false"/>
          <w:sz w:val="20"/>
        </w:rPr>
        <w:t/>
      </w:r>
    </w:p>
    <w:p>
      <w:pPr>
        <w:pStyle w:val="ab"/>
      </w:pPr>
      <w:r>
        <w:t>发言人1 问：公司后续在自勉分子胶、环泰等平台新增项目的节奏、主要开发的靶点以及新增方向是怎样的？</w:t>
      </w:r>
    </w:p>
    <w:p>
      <w:r>
        <w:rPr>
          <w:rFonts w:ascii="等线(中文正文)" w:hAnsi="等线(中文正文)" w:cs="等线(中文正文)" w:eastAsia="等线(中文正文)"/>
          <w:b w:val="false"/>
          <w:i w:val="false"/>
          <w:sz w:val="20"/>
        </w:rPr>
        <w:t>发言人1 答：公司目前重点关注肿瘤和智敏两个疾病领域，针对不同靶点及其相关生物学功能开发合适形态的分子，如对非重要靶点开发抑制剂，可能包括外周和CNA类型的药物。对于不可成药靶点，将及时开发分子胶，例如针对VIP one的ICP538，也会考虑从不同角度考察对靶点的作用能力。未来会在合适的时间点公布新的项目进展。</w:t>
      </w:r>
    </w:p>
    <w:p>
      <w:r>
        <w:rPr>
          <w:rFonts w:ascii="等线(中文正文)" w:hAnsi="等线(中文正文)" w:cs="等线(中文正文)" w:eastAsia="等线(中文正文)"/>
          <w:b w:val="false"/>
          <w:i w:val="false"/>
          <w:sz w:val="20"/>
        </w:rPr>
        <w:t/>
      </w:r>
    </w:p>
    <w:p>
      <w:pPr>
        <w:pStyle w:val="ab"/>
      </w:pPr>
      <w:r>
        <w:t>发言人1 问：公司与西湖大学的战略合作进展如何，在靶点发现和平台技术开发方面有哪些成果？未来主要攻坚方向是什么？</w:t>
      </w:r>
    </w:p>
    <w:p>
      <w:r>
        <w:rPr>
          <w:rFonts w:ascii="等线(中文正文)" w:hAnsi="等线(中文正文)" w:cs="等线(中文正文)" w:eastAsia="等线(中文正文)"/>
          <w:b w:val="false"/>
          <w:i w:val="false"/>
          <w:sz w:val="20"/>
        </w:rPr>
        <w:t>发言人1 答：与西湖大学的合作集中在创新DAN设计领域，目标开发口服mini portion，该项目已取得重大突破，并进入第二阶段优化阶段。公司期待与西湖大学进一步扩大合作，应用到更多靶点。此外，公司正在积极推进奥布替尼联合其他药物治疗血液瘤的差异化优势和细分适应症开拓计划，数据读出节奏将在2023年公布。</w:t>
      </w:r>
    </w:p>
    <w:p>
      <w:r>
        <w:rPr>
          <w:rFonts w:ascii="等线(中文正文)" w:hAnsi="等线(中文正文)" w:cs="等线(中文正文)" w:eastAsia="等线(中文正文)"/>
          <w:b w:val="false"/>
          <w:i w:val="false"/>
          <w:sz w:val="20"/>
        </w:rPr>
        <w:t/>
      </w:r>
    </w:p>
    <w:p>
      <w:pPr>
        <w:pStyle w:val="ab"/>
      </w:pPr>
      <w:r>
        <w:t>发言人1 问：公司TCE平台的下一代提升计划及今年能有多少产品管线进入临床阶段？</w:t>
      </w:r>
    </w:p>
    <w:p>
      <w:r>
        <w:rPr>
          <w:rFonts w:ascii="等线(中文正文)" w:hAnsi="等线(中文正文)" w:cs="等线(中文正文)" w:eastAsia="等线(中文正文)"/>
          <w:b w:val="false"/>
          <w:i w:val="false"/>
          <w:sz w:val="20"/>
        </w:rPr>
        <w:t>发言人1 答：TCE领域是公司的重要方向，尤其是CD3、CD20等靶点具有广泛的应用价值。公司致力于通过差异化优势打造下一代TCE产品，虽然无法明确今年所有产品管线进入临床的具体情况，但会持续投入精力优化并公布最优分子，加速推进研究进度。</w:t>
      </w:r>
    </w:p>
    <w:p>
      <w:r>
        <w:rPr>
          <w:rFonts w:ascii="等线(中文正文)" w:hAnsi="等线(中文正文)" w:cs="等线(中文正文)" w:eastAsia="等线(中文正文)"/>
          <w:b w:val="false"/>
          <w:i w:val="false"/>
          <w:sz w:val="20"/>
        </w:rPr>
        <w:t/>
      </w:r>
    </w:p>
    <w:p>
      <w:pPr>
        <w:pStyle w:val="ab"/>
      </w:pPr>
      <w:r>
        <w:t>发言人1 问：奥布替尼自免适应症的商业化规划以及在研管线ICP054口服小分子抑制剂的推进节奏如何？</w:t>
      </w:r>
    </w:p>
    <w:p>
      <w:r>
        <w:rPr>
          <w:rFonts w:ascii="等线(中文正文)" w:hAnsi="等线(中文正文)" w:cs="等线(中文正文)" w:eastAsia="等线(中文正文)"/>
          <w:b w:val="false"/>
          <w:i w:val="false"/>
          <w:sz w:val="20"/>
        </w:rPr>
        <w:t>发言人1 答：奥布替尼针对ITP适应症的商业化规划已启动上市团队组建，计划充分利用现有血肿瘤平台快速放量。而ICP054进展顺利，已完成多个临床研究阶段，预计年底完成一期健康研究，并与合作伙伴紧密合作，积极推进二期概念研究。</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2026-08-27T01:24:58Z</dcterms:created>
  <dc:creator>Apache POI</dc:creator>
</cp:coreProperties>
</file>