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华创非银徐康团队 - 深度30讲：保险公司投资行为解读 260826_导读</w:t>
      </w:r>
    </w:p>
    <w:p>
      <w:pPr>
        <w:pStyle w:val="a0"/>
        <w:jc w:val="center"/>
      </w:pPr>
      <w:r>
        <w:t>2026年08月26日 21:58</w:t>
      </w:r>
    </w:p>
    <w:p>
      <w:pPr>
        <w:pStyle w:val="a7"/>
      </w:pPr>
      <w:r>
        <w:t>关键词</w:t>
      </w:r>
    </w:p>
    <w:p>
      <w:r>
        <w:rPr>
          <w:rFonts w:ascii="等线(中文正文)" w:hAnsi="等线(中文正文)" w:cs="等线(中文正文)" w:eastAsia="等线(中文正文)"/>
          <w:b w:val="false"/>
          <w:i w:val="false"/>
          <w:sz w:val="20"/>
        </w:rPr>
        <w:t xml:space="preserve">保险公司 投资行为 权益投资 负债端 资产负债管理 投资收益 成本收益匹配 监管 新准则 预定利率 流动性匹配 期限匹配 保险行业 公募基金 中国平安 会计准则 股东回报 保险投资 固收资产 权益资产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非银研究员分析了保险公司因负债端约束而采取的保守投资策略，指出近年来保险公司倾向配置高股息股票和低风险债券，以追求稳定收益并应对市场波动。新会计准则对保险公司投资策略产生影响，需在监管要求和经营目标间寻找平衡。展望未来，保险公司可能增加权益类资产配置，以寻求更高投资回报，同时适应市场环境和监管变化。这反映了保险公司投资决策背后的稳定收益追求和灵活应对策略。</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保险公司投资行为的内在逻辑与方法论探讨</w:t>
      </w:r>
    </w:p>
    <w:p>
      <w:r>
        <w:rPr>
          <w:rFonts w:ascii="等线(中文正文)" w:hAnsi="等线(中文正文)" w:cs="等线(中文正文)" w:eastAsia="等线(中文正文)"/>
          <w:b w:val="false"/>
          <w:i w:val="false"/>
          <w:sz w:val="20"/>
        </w:rPr>
        <w:t>对话围绕保险公司投资行为的内在逻辑和方法论展开，指出保险公司的资金来源与负债端有明确约束，需确保给客户的收益承诺兑现，受偿付能力、股东回报和流动性等多重条件影响，投资行为需贯彻在公司经营行为中，资产负债管理办法新规体现了这一逻辑，强调了保险公司经营的显示行为内在牵引力。</w:t>
      </w:r>
    </w:p>
    <w:p>
      <w:r>
        <w:rPr>
          <w:rFonts w:ascii="等线(中文正文)" w:hAnsi="等线(中文正文)" w:cs="等线(中文正文)" w:eastAsia="等线(中文正文)"/>
          <w:b w:val="false"/>
          <w:i w:val="false"/>
          <w:sz w:val="20"/>
        </w:rPr>
        <w:t/>
      </w:r>
    </w:p>
    <w:p>
      <w:pPr>
        <w:pStyle w:val="ab"/>
        <w:numPr>
          <w:numId w:val="2"/>
        </w:numPr>
      </w:pPr>
      <w:r>
        <w:t>05:17 保险行业权益投资重要性提升分析</w:t>
      </w:r>
    </w:p>
    <w:p>
      <w:r>
        <w:rPr>
          <w:rFonts w:ascii="等线(中文正文)" w:hAnsi="等线(中文正文)" w:cs="等线(中文正文)" w:eastAsia="等线(中文正文)"/>
          <w:b w:val="false"/>
          <w:i w:val="false"/>
          <w:sz w:val="20"/>
        </w:rPr>
        <w:t>对话探讨了当前保险行业在投资策略上的调整，特别是权益投资的重要性日益凸显。由于保险公司的负债端成本较高且期限较长，面对市场环境变化，提高投资收益成为关键。单纯依赖无风险资产已无法满足成本收益匹配的需求，因此提升权益资产配置比例被视为解决当前挑战的核心方向。此外，保险公司对权益市场的重视也反映在其股价表现和主动基金规模的增长上，显示了权益投资对保险公司业绩的直接影响。</w:t>
      </w:r>
    </w:p>
    <w:p>
      <w:r>
        <w:rPr>
          <w:rFonts w:ascii="等线(中文正文)" w:hAnsi="等线(中文正文)" w:cs="等线(中文正文)" w:eastAsia="等线(中文正文)"/>
          <w:b w:val="false"/>
          <w:i w:val="false"/>
          <w:sz w:val="20"/>
        </w:rPr>
        <w:t/>
      </w:r>
    </w:p>
    <w:p>
      <w:pPr>
        <w:pStyle w:val="ab"/>
        <w:numPr>
          <w:numId w:val="3"/>
        </w:numPr>
      </w:pPr>
      <w:r>
        <w:t>10:12 保险行业新准则执行与经营策略调整</w:t>
      </w:r>
    </w:p>
    <w:p>
      <w:r>
        <w:rPr>
          <w:rFonts w:ascii="等线(中文正文)" w:hAnsi="等线(中文正文)" w:cs="等线(中文正文)" w:eastAsia="等线(中文正文)"/>
          <w:b w:val="false"/>
          <w:i w:val="false"/>
          <w:sz w:val="20"/>
        </w:rPr>
        <w:t>对话探讨了保险行业在新准则执行背景下，如何调整经营策略以应对监管要求与市场变化。重点分析了中国平安作为非纯粹保险公司，提前执行新准则的情况，以及国寿、新华等人保等纯粹保险公司自2023年起正式执行新准则的时间节点。提及2026年将是行业全面适应新准则的关键年份，影响企业投资决策与资产管理策略，如加配OCI股票等调整，以优化财务表现和满足监管指标。</w:t>
      </w:r>
    </w:p>
    <w:p>
      <w:r>
        <w:rPr>
          <w:rFonts w:ascii="等线(中文正文)" w:hAnsi="等线(中文正文)" w:cs="等线(中文正文)" w:eastAsia="等线(中文正文)"/>
          <w:b w:val="false"/>
          <w:i w:val="false"/>
          <w:sz w:val="20"/>
        </w:rPr>
        <w:t/>
      </w:r>
    </w:p>
    <w:p>
      <w:pPr>
        <w:pStyle w:val="ab"/>
        <w:numPr>
          <w:numId w:val="4"/>
        </w:numPr>
      </w:pPr>
      <w:r>
        <w:t>14:12 保险投资资产配置趋势与行业分析</w:t>
      </w:r>
    </w:p>
    <w:p>
      <w:r>
        <w:rPr>
          <w:rFonts w:ascii="等线(中文正文)" w:hAnsi="等线(中文正文)" w:cs="等线(中文正文)" w:eastAsia="等线(中文正文)"/>
          <w:b w:val="false"/>
          <w:i w:val="false"/>
          <w:sz w:val="20"/>
        </w:rPr>
        <w:t>对话探讨了保险投资领域的资产配置现状与趋势，指出固收资产占比60%作为压舱石，权益资产占比20%并呈上升趋势，非标资产占比20%持续压缩。上市公司如平安、太保、新华在债券与股票配置上各有侧重，整体行业正经历非标资产压降与权益资产加配的调整。债券资产作为核心压舱石，虽有波动但整体稳定，各公司策略趋同，主要调整集中在权益与非标资产的权衡上。</w:t>
      </w:r>
    </w:p>
    <w:p>
      <w:r>
        <w:rPr>
          <w:rFonts w:ascii="等线(中文正文)" w:hAnsi="等线(中文正文)" w:cs="等线(中文正文)" w:eastAsia="等线(中文正文)"/>
          <w:b w:val="false"/>
          <w:i w:val="false"/>
          <w:sz w:val="20"/>
        </w:rPr>
        <w:t/>
      </w:r>
    </w:p>
    <w:p>
      <w:pPr>
        <w:pStyle w:val="ab"/>
        <w:numPr>
          <w:numId w:val="5"/>
        </w:numPr>
      </w:pPr>
      <w:r>
        <w:t>16:50 保险公司权益投资策略与监管影响分析</w:t>
      </w:r>
    </w:p>
    <w:p>
      <w:r>
        <w:rPr>
          <w:rFonts w:ascii="等线(中文正文)" w:hAnsi="等线(中文正文)" w:cs="等线(中文正文)" w:eastAsia="等线(中文正文)"/>
          <w:b w:val="false"/>
          <w:i w:val="false"/>
          <w:sz w:val="20"/>
        </w:rPr>
        <w:t>对话探讨了保险公司权益投资策略的差异，包括高股息股票和成长类资产的配置比例，以及监管要求对投资决策的影响。平安、国寿、新华等公司根据自身风格和监管要求，形成了不同的投资组合，导致总投资收益率波动。平安侧重高股息，国寿和新华则更多依赖买卖价差收益。监管对净投资收益覆盖率的要求，促使公司必须配置一定比例的高股息股票，以满足监管标准。</w:t>
      </w:r>
    </w:p>
    <w:p>
      <w:r>
        <w:rPr>
          <w:rFonts w:ascii="等线(中文正文)" w:hAnsi="等线(中文正文)" w:cs="等线(中文正文)" w:eastAsia="等线(中文正文)"/>
          <w:b w:val="false"/>
          <w:i w:val="false"/>
          <w:sz w:val="20"/>
        </w:rPr>
        <w:t/>
      </w:r>
    </w:p>
    <w:p>
      <w:pPr>
        <w:pStyle w:val="ab"/>
        <w:numPr>
          <w:numId w:val="6"/>
        </w:numPr>
      </w:pPr>
      <w:r>
        <w:t>21:04 保险公司投资策略与负债端结构分析</w:t>
      </w:r>
    </w:p>
    <w:p>
      <w:r>
        <w:rPr>
          <w:rFonts w:ascii="等线(中文正文)" w:hAnsi="等线(中文正文)" w:cs="等线(中文正文)" w:eastAsia="等线(中文正文)"/>
          <w:b w:val="false"/>
          <w:i w:val="false"/>
          <w:sz w:val="20"/>
        </w:rPr>
        <w:t>讨论了保险公司投资行为需根据负债端不同账户（如传统险、分红险、万能险等）的特性进行差异化决策，强调传统险账户对利润影响较大，分红万能险受新政策影响表现更为独立。建议投资者关注公司利润来源及传统险账户的利差表现，以评估保险公司财务健康状况。</w:t>
      </w:r>
    </w:p>
    <w:p>
      <w:r>
        <w:rPr>
          <w:rFonts w:ascii="等线(中文正文)" w:hAnsi="等线(中文正文)" w:cs="等线(中文正文)" w:eastAsia="等线(中文正文)"/>
          <w:b w:val="false"/>
          <w:i w:val="false"/>
          <w:sz w:val="20"/>
        </w:rPr>
        <w:t/>
      </w:r>
    </w:p>
    <w:p>
      <w:pPr>
        <w:pStyle w:val="ab"/>
        <w:numPr>
          <w:numId w:val="7"/>
        </w:numPr>
      </w:pPr>
      <w:r>
        <w:t>23:58 保险资金入市趋势与市场影响分析</w:t>
      </w:r>
    </w:p>
    <w:p>
      <w:r>
        <w:rPr>
          <w:rFonts w:ascii="等线(中文正文)" w:hAnsi="等线(中文正文)" w:cs="等线(中文正文)" w:eastAsia="等线(中文正文)"/>
          <w:b w:val="false"/>
          <w:i w:val="false"/>
          <w:sz w:val="20"/>
        </w:rPr>
        <w:t>对话探讨了保险行业负债端的稳定增长趋势，以及监管政策鼓励保险资金入市的背景。分析指出，未来几年保险资金入市规模将持续扩大，对A股市场构成长期支撑。短期市场预期较为乐观，但风格切换需谨慎。年底或关注高股息股票和价值板块的投资机会。</w:t>
      </w:r>
    </w:p>
    <w:p>
      <w:r>
        <w:rPr>
          <w:rFonts w:ascii="等线(中文正文)" w:hAnsi="等线(中文正文)" w:cs="等线(中文正文)" w:eastAsia="等线(中文正文)"/>
          <w:b w:val="false"/>
          <w:i w:val="false"/>
          <w:sz w:val="20"/>
        </w:rPr>
        <w:t/>
      </w:r>
    </w:p>
    <w:p>
      <w:pPr>
        <w:pStyle w:val="ab"/>
        <w:numPr>
          <w:numId w:val="8"/>
        </w:numPr>
      </w:pPr>
      <w:r>
        <w:t>28:39 保险公司投资策略与市场风格预测</w:t>
      </w:r>
    </w:p>
    <w:p>
      <w:r>
        <w:rPr>
          <w:rFonts w:ascii="等线(中文正文)" w:hAnsi="等线(中文正文)" w:cs="等线(中文正文)" w:eastAsia="等线(中文正文)"/>
          <w:b w:val="false"/>
          <w:i w:val="false"/>
          <w:sz w:val="20"/>
        </w:rPr>
        <w:t>对话围绕保险公司的投资策略展开，讨论了分红险转型对成长股偏好的影响，以及未来市场可能呈现的哑铃型投资风格。强调了保险公司作为盈利性机构，需平衡成长与价值投资，以满足客户预期和监管要求。预计未来几年市场将保持成长性，增量资金支撑行业长期发展，但具体风格需结合分红险转型和新规灵活调整。</w:t>
      </w:r>
    </w:p>
    <w:p>
      <w:r>
        <w:rPr>
          <w:rFonts w:ascii="等线(中文正文)" w:hAnsi="等线(中文正文)" w:cs="等线(中文正文)" w:eastAsia="等线(中文正文)"/>
          <w:b w:val="false"/>
          <w:i w:val="false"/>
          <w:sz w:val="20"/>
        </w:rPr>
        <w:t/>
      </w:r>
    </w:p>
    <w:p>
      <w:pPr>
        <w:pStyle w:val="a7"/>
      </w:pPr>
      <w:r>
        <w:t>发言总结</w:t>
      </w:r>
    </w:p>
    <w:p>
      <w:pPr>
        <w:pStyle w:val="ab"/>
        <w:numPr>
          <w:numId w:val="9"/>
        </w:numPr>
      </w:pPr>
      <w:r>
        <w:t>发言人1</w:t>
      </w:r>
    </w:p>
    <w:p>
      <w:r>
        <w:rPr>
          <w:rFonts w:ascii="等线(中文正文)" w:hAnsi="等线(中文正文)" w:cs="等线(中文正文)" w:eastAsia="等线(中文正文)"/>
          <w:b w:val="false"/>
          <w:i w:val="false"/>
          <w:sz w:val="20"/>
        </w:rPr>
        <w:t>他（曾广荣）在华创金融第三十讲中深入分析了保险公司投资端的行为和策略。他指出，近年来，资本对保险公司投资行为的关注度提升，主要是因为保险公司投资行为存在内在逻辑和方法论。他从方法论角度出发，整理公开信息，梳理了保险公司投资行为的内在逻辑，并结合近期资金面调研，分析了近期投资行为特征和策略。曾广荣强调，保险公司的投资行为受偿付能力、股东回报、现金流等多重条件约束，需满足新的经营压力和资产负债管理要求。他指出保险公司对高股息股票和债券的投资倾向，以及对权益投资比例的提升，反映了行业投资策略的调整和优化。此外，新准则执行、投资收益、负债端结构的差异也影响了投资决策。最后，曾广荣展望了保险公司未来投资方向，预计权益投资比例将进一步提升，关注高股息股票和科技股投资机会，强调投资策略需考虑监管、市场环境和公司战略目标，保持灵活性和前瞻性。</w:t>
      </w:r>
    </w:p>
    <w:p>
      <w:r>
        <w:rPr>
          <w:rFonts w:ascii="等线(中文正文)" w:hAnsi="等线(中文正文)" w:cs="等线(中文正文)" w:eastAsia="等线(中文正文)"/>
          <w:b w:val="false"/>
          <w:i w:val="false"/>
          <w:sz w:val="20"/>
        </w:rPr>
        <w:t/>
      </w:r>
    </w:p>
    <w:p>
      <w:pPr>
        <w:pStyle w:val="a7"/>
      </w:pPr>
      <w:r>
        <w:t>要点回顾</w:t>
      </w:r>
    </w:p>
    <w:p>
      <w:pPr>
        <w:pStyle w:val="ab"/>
      </w:pPr>
      <w:r>
        <w:t>寿险行业的投资行为有哪些特点？为什么近期对保险行业资金面的关注度上升？</w:t>
      </w:r>
    </w:p>
    <w:p>
      <w:r>
        <w:rPr>
          <w:rFonts w:ascii="等线(中文正文)" w:hAnsi="等线(中文正文)" w:cs="等线(中文正文)" w:eastAsia="等线(中文正文)"/>
          <w:b w:val="false"/>
          <w:i w:val="false"/>
          <w:sz w:val="20"/>
        </w:rPr>
        <w:t>发言人1：寿险行业的投资行为具有一定的共性和约束性，不同于公募基金等其他类别基金的行为。保险公司作为资产管理机构，其资金来源相对复杂且没有严格统一的要求，但其负债端的设计基于精算原则，并通过产品销售给投保人，因此在投资时需要考虑对客户承诺的收益或预期的兑现。尤其是在市场较差时，保险公司可能会降低仓位以保证客户的收益承诺得以实现。近期资本对保险公司投资行为的关注度上升是因为保险公司的投资行为背后存在明确的内在逻辑和方法论，并受到资产负债管理办法新规等监管政策的影响。与公募基金等其他类别基金相比，保险公司因其负债性质的独特性，在投资决策上受到更多制约和导向。</w:t>
      </w:r>
    </w:p>
    <w:p>
      <w:r>
        <w:rPr>
          <w:rFonts w:ascii="等线(中文正文)" w:hAnsi="等线(中文正文)" w:cs="等线(中文正文)" w:eastAsia="等线(中文正文)"/>
          <w:b w:val="false"/>
          <w:i w:val="false"/>
          <w:sz w:val="20"/>
        </w:rPr>
        <w:t/>
      </w:r>
    </w:p>
    <w:p>
      <w:pPr>
        <w:pStyle w:val="ab"/>
      </w:pPr>
      <w:r>
        <w:t>保险公司的经营行为在投资端受到哪些约束条件？</w:t>
      </w:r>
    </w:p>
    <w:p>
      <w:r>
        <w:rPr>
          <w:rFonts w:ascii="等线(中文正文)" w:hAnsi="等线(中文正文)" w:cs="等线(中文正文)" w:eastAsia="等线(中文正文)"/>
          <w:b w:val="false"/>
          <w:i w:val="false"/>
          <w:sz w:val="20"/>
        </w:rPr>
        <w:t>发言人1：保险公司的资金或负债存在一定的约束条件，这些约束条件包括但不限于资产负债管理、偿付能力、股东回报、短期流动性现金流等多重条件，这些都会集中影响到负债资产端的投资行为。</w:t>
      </w:r>
    </w:p>
    <w:p>
      <w:r>
        <w:rPr>
          <w:rFonts w:ascii="等线(中文正文)" w:hAnsi="等线(中文正文)" w:cs="等线(中文正文)" w:eastAsia="等线(中文正文)"/>
          <w:b w:val="false"/>
          <w:i w:val="false"/>
          <w:sz w:val="20"/>
        </w:rPr>
        <w:t/>
      </w:r>
    </w:p>
    <w:p>
      <w:pPr>
        <w:pStyle w:val="ab"/>
      </w:pPr>
      <w:r>
        <w:t>当前保险行业投资权益类资产的重要性为何增强？</w:t>
      </w:r>
    </w:p>
    <w:p>
      <w:r>
        <w:rPr>
          <w:rFonts w:ascii="等线(中文正文)" w:hAnsi="等线(中文正文)" w:cs="等线(中文正文)" w:eastAsia="等线(中文正文)"/>
          <w:b w:val="false"/>
          <w:i w:val="false"/>
          <w:sz w:val="20"/>
        </w:rPr>
        <w:t>发言人1：当前保险行业权益投资的重要性提升是因为保险公司的负债端通常给定了明确的承诺或保证成本，并且这些成本具有期限或久期的概念。面对未来市场环境的不确定性，保险公司需要平衡过去积累的高成本负债与未来潜在的低利率环境之间的挑战，从而更加重视权益类资产的投资。</w:t>
      </w:r>
    </w:p>
    <w:p>
      <w:r>
        <w:rPr>
          <w:rFonts w:ascii="等线(中文正文)" w:hAnsi="等线(中文正文)" w:cs="等线(中文正文)" w:eastAsia="等线(中文正文)"/>
          <w:b w:val="false"/>
          <w:i w:val="false"/>
          <w:sz w:val="20"/>
        </w:rPr>
        <w:t/>
      </w:r>
    </w:p>
    <w:p>
      <w:pPr>
        <w:pStyle w:val="ab"/>
      </w:pPr>
      <w:r>
        <w:t>对于当前时间点，保险公司如何应对存量高成本负债的问题？</w:t>
      </w:r>
    </w:p>
    <w:p>
      <w:r>
        <w:rPr>
          <w:rFonts w:ascii="等线(中文正文)" w:hAnsi="等线(中文正文)" w:cs="等线(中文正文)" w:eastAsia="等线(中文正文)"/>
          <w:b w:val="false"/>
          <w:i w:val="false"/>
          <w:sz w:val="20"/>
        </w:rPr>
        <w:t>发言人1：当前保险公司面临前人遗留下来的高成本负债压力，他们无法让客户退保，也无法轻易甩掉这笔账。因此，只能通过坚守信用、保证经营、满足监管要求等方式，自己承担并逐步消化掉这笔历史债务包袱。</w:t>
      </w:r>
    </w:p>
    <w:p>
      <w:r>
        <w:rPr>
          <w:rFonts w:ascii="等线(中文正文)" w:hAnsi="等线(中文正文)" w:cs="等线(中文正文)" w:eastAsia="等线(中文正文)"/>
          <w:b w:val="false"/>
          <w:i w:val="false"/>
          <w:sz w:val="20"/>
        </w:rPr>
        <w:t/>
      </w:r>
    </w:p>
    <w:p>
      <w:pPr>
        <w:pStyle w:val="ab"/>
      </w:pPr>
      <w:r>
        <w:t>在当前市场环境下，保险投资的主要挑战是什么？</w:t>
      </w:r>
    </w:p>
    <w:p>
      <w:r>
        <w:rPr>
          <w:rFonts w:ascii="等线(中文正文)" w:hAnsi="等线(中文正文)" w:cs="等线(中文正文)" w:eastAsia="等线(中文正文)"/>
          <w:b w:val="false"/>
          <w:i w:val="false"/>
          <w:sz w:val="20"/>
        </w:rPr>
        <w:t>发言人1：当前市场环境下，保险投资的主要挑战是优化资产负债管理，包括流动性匹配、期限匹配和成本收益匹配。尤其是成本收益匹配，即投资收益需要足够覆盖刚性支出以确保当年不出现亏损。此外，由于存量负债成本较高（例如在3%左右），仅靠配置无风险资产无法满足要求，权益类资产的重要性因此得到提升。</w:t>
      </w:r>
    </w:p>
    <w:p>
      <w:r>
        <w:rPr>
          <w:rFonts w:ascii="等线(中文正文)" w:hAnsi="等线(中文正文)" w:cs="等线(中文正文)" w:eastAsia="等线(中文正文)"/>
          <w:b w:val="false"/>
          <w:i w:val="false"/>
          <w:sz w:val="20"/>
        </w:rPr>
        <w:t/>
      </w:r>
    </w:p>
    <w:p>
      <w:pPr>
        <w:pStyle w:val="ab"/>
      </w:pPr>
      <w:r>
        <w:t>为什么权益投资比例对于保险公司来说变得更为重要？</w:t>
      </w:r>
    </w:p>
    <w:p>
      <w:r>
        <w:rPr>
          <w:rFonts w:ascii="等线(中文正文)" w:hAnsi="等线(中文正文)" w:cs="等线(中文正文)" w:eastAsia="等线(中文正文)"/>
          <w:b w:val="false"/>
          <w:i w:val="false"/>
          <w:sz w:val="20"/>
        </w:rPr>
        <w:t>发言人1：权益投资比例提升是因为当前利率环境变化，十年或十五年前国债收益率处于较高的区间，固收投资的重要性相对较低，而现在仅靠固收投资会导致较大压力甚至确定性亏损。权益资产在中长期来看，其重要性逐渐提高，并且在解决风险与波动问题的同时，是当前环境下提高投资收益的核心方向。</w:t>
      </w:r>
    </w:p>
    <w:p>
      <w:r>
        <w:rPr>
          <w:rFonts w:ascii="等线(中文正文)" w:hAnsi="等线(中文正文)" w:cs="等线(中文正文)" w:eastAsia="等线(中文正文)"/>
          <w:b w:val="false"/>
          <w:i w:val="false"/>
          <w:sz w:val="20"/>
        </w:rPr>
        <w:t/>
      </w:r>
    </w:p>
    <w:p>
      <w:pPr>
        <w:pStyle w:val="ab"/>
      </w:pPr>
      <w:r>
        <w:t>保险公司在投资行为上有哪些调整趋势？</w:t>
      </w:r>
    </w:p>
    <w:p>
      <w:r>
        <w:rPr>
          <w:rFonts w:ascii="等线(中文正文)" w:hAnsi="等线(中文正文)" w:cs="等线(中文正文)" w:eastAsia="等线(中文正文)"/>
          <w:b w:val="false"/>
          <w:i w:val="false"/>
          <w:sz w:val="20"/>
        </w:rPr>
        <w:t>发言人1：保险公司在投资行为上的主要调整趋势是增加权益类投资，目前权益类基金规模已经增长到约6万亿，且以主动管理型基金为主。保险资金在资本市场二级市场的影响力已经超过公募基金。这种加配权益资产的内在逻辑在于应对匹配问题、产品收益问题以及减轻经营压力。</w:t>
      </w:r>
    </w:p>
    <w:p>
      <w:r>
        <w:rPr>
          <w:rFonts w:ascii="等线(中文正文)" w:hAnsi="等线(中文正文)" w:cs="等线(中文正文)" w:eastAsia="等线(中文正文)"/>
          <w:b w:val="false"/>
          <w:i w:val="false"/>
          <w:sz w:val="20"/>
        </w:rPr>
        <w:t/>
      </w:r>
    </w:p>
    <w:p>
      <w:pPr>
        <w:pStyle w:val="ab"/>
      </w:pPr>
      <w:r>
        <w:t>监管法规如何影响保险公司的投资行为？</w:t>
      </w:r>
    </w:p>
    <w:p>
      <w:r>
        <w:rPr>
          <w:rFonts w:ascii="等线(中文正文)" w:hAnsi="等线(中文正文)" w:cs="等线(中文正文)" w:eastAsia="等线(中文正文)"/>
          <w:b w:val="false"/>
          <w:i w:val="false"/>
          <w:sz w:val="20"/>
        </w:rPr>
        <w:t>发言人1：监管法规如新准则、预定利率下调等政策从上至下对保险公司的投资行为产生影响，旨在减轻公司经营压力并促使公司在资产端更好地满足资产负债管理需求。虽然新准则主要涉及会计计量问题，但其实质上会影响公司整体的投资行为和决策。</w:t>
      </w:r>
    </w:p>
    <w:p>
      <w:r>
        <w:rPr>
          <w:rFonts w:ascii="等线(中文正文)" w:hAnsi="等线(中文正文)" w:cs="等线(中文正文)" w:eastAsia="等线(中文正文)"/>
          <w:b w:val="false"/>
          <w:i w:val="false"/>
          <w:sz w:val="20"/>
        </w:rPr>
        <w:t/>
      </w:r>
    </w:p>
    <w:p>
      <w:pPr>
        <w:pStyle w:val="ab"/>
      </w:pPr>
      <w:r>
        <w:t>新金融工具准则（IFS9）对保险行业有何影响？</w:t>
      </w:r>
    </w:p>
    <w:p>
      <w:r>
        <w:rPr>
          <w:rFonts w:ascii="等线(中文正文)" w:hAnsi="等线(中文正文)" w:cs="等线(中文正文)" w:eastAsia="等线(中文正文)"/>
          <w:b w:val="false"/>
          <w:i w:val="false"/>
          <w:sz w:val="20"/>
        </w:rPr>
        <w:t>发言人1：新金融工具准则自2018年开始执行，非保险行业的公司按照该准则执行，而纯粹的保险公司如国寿、新华、人保等因业务占比符合要求而豁免执行。中国平安由于其业务范围不完全属于纯粹保险公司范畴，未被豁免。直到2023年，所有保险公司都将开始执行新准则和新保险合同会计准则（IFS7），这将对保险行业的投资行为产生显著影响。</w:t>
      </w:r>
    </w:p>
    <w:p>
      <w:r>
        <w:rPr>
          <w:rFonts w:ascii="等线(中文正文)" w:hAnsi="等线(中文正文)" w:cs="等线(中文正文)" w:eastAsia="等线(中文正文)"/>
          <w:b w:val="false"/>
          <w:i w:val="false"/>
          <w:sz w:val="20"/>
        </w:rPr>
        <w:t/>
      </w:r>
    </w:p>
    <w:p>
      <w:pPr>
        <w:pStyle w:val="ab"/>
      </w:pPr>
      <w:r>
        <w:t>在2026年，为什么之前未落实新经营管理政策，而今年开始启用？新准则启用后，投资方面会有什么变化吗？</w:t>
      </w:r>
    </w:p>
    <w:p>
      <w:r>
        <w:rPr>
          <w:rFonts w:ascii="等线(中文正文)" w:hAnsi="等线(中文正文)" w:cs="等线(中文正文)" w:eastAsia="等线(中文正文)"/>
          <w:b w:val="false"/>
          <w:i w:val="false"/>
          <w:sz w:val="20"/>
        </w:rPr>
        <w:t>发言人1：2026年是行业除平安以外正式开始实施新政策准则的一年，之前未实施是因为在内部管理上未进行相应的调整和更新。新准则启用后，投资策略有所改变，例如今年会加配OCI股票，去年则没有，这是由于新的管理政策考虑了边界变化的影响。</w:t>
      </w:r>
    </w:p>
    <w:p>
      <w:r>
        <w:rPr>
          <w:rFonts w:ascii="等线(中文正文)" w:hAnsi="等线(中文正文)" w:cs="等线(中文正文)" w:eastAsia="等线(中文正文)"/>
          <w:b w:val="false"/>
          <w:i w:val="false"/>
          <w:sz w:val="20"/>
        </w:rPr>
        <w:t/>
      </w:r>
    </w:p>
    <w:p>
      <w:pPr>
        <w:pStyle w:val="ab"/>
      </w:pPr>
      <w:r>
        <w:t>从保险投资角度看，主要关注哪些方面？权益和非标资产的配置趋势是怎样的？</w:t>
      </w:r>
    </w:p>
    <w:p>
      <w:r>
        <w:rPr>
          <w:rFonts w:ascii="等线(中文正文)" w:hAnsi="等线(中文正文)" w:cs="等线(中文正文)" w:eastAsia="等线(中文正文)"/>
          <w:b w:val="false"/>
          <w:i w:val="false"/>
          <w:sz w:val="20"/>
        </w:rPr>
        <w:t>发言人1：主要关注两个方面：一是大类资产配置结构；二是内部或分资产类别的配置方向和趋势。权益占比预计在一两年内会上升，非标占比会下降，而总体上行业保持622的配置比例。各家公司具体配置情况存在差异，如平安和太保债券占比相对较高，新华在股票方面占比可能较高。</w:t>
      </w:r>
    </w:p>
    <w:p>
      <w:r>
        <w:rPr>
          <w:rFonts w:ascii="等线(中文正文)" w:hAnsi="等线(中文正文)" w:cs="等线(中文正文)" w:eastAsia="等线(中文正文)"/>
          <w:b w:val="false"/>
          <w:i w:val="false"/>
          <w:sz w:val="20"/>
        </w:rPr>
        <w:t/>
      </w:r>
    </w:p>
    <w:p>
      <w:pPr>
        <w:pStyle w:val="ab"/>
      </w:pPr>
      <w:r>
        <w:t>目前整个行业的资产配置结构是怎样的？</w:t>
      </w:r>
    </w:p>
    <w:p>
      <w:r>
        <w:rPr>
          <w:rFonts w:ascii="等线(中文正文)" w:hAnsi="等线(中文正文)" w:cs="等线(中文正文)" w:eastAsia="等线(中文正文)"/>
          <w:b w:val="false"/>
          <w:i w:val="false"/>
          <w:sz w:val="20"/>
        </w:rPr>
        <w:t>发言人1：目前行业资产配置结构以固收为主，权益为辅，非标资产不断压缩，大致比例为60%固收、20%权益、20%其他现金类存款等。</w:t>
      </w:r>
    </w:p>
    <w:p>
      <w:r>
        <w:rPr>
          <w:rFonts w:ascii="等线(中文正文)" w:hAnsi="等线(中文正文)" w:cs="等线(中文正文)" w:eastAsia="等线(中文正文)"/>
          <w:b w:val="false"/>
          <w:i w:val="false"/>
          <w:sz w:val="20"/>
        </w:rPr>
        <w:t/>
      </w:r>
    </w:p>
    <w:p>
      <w:pPr>
        <w:pStyle w:val="ab"/>
      </w:pPr>
      <w:r>
        <w:t>对于保险公司的投资策略，能否详细描述一下？</w:t>
      </w:r>
    </w:p>
    <w:p>
      <w:r>
        <w:rPr>
          <w:rFonts w:ascii="等线(中文正文)" w:hAnsi="等线(中文正文)" w:cs="等线(中文正文)" w:eastAsia="等线(中文正文)"/>
          <w:b w:val="false"/>
          <w:i w:val="false"/>
          <w:sz w:val="20"/>
        </w:rPr>
        <w:t>发言人1：保险公司通常采取哑铃型结构，通过配置高股息或价值类股票确保压舱石作用，同时配置一些偏成长类股票以追求更高的风险收益比。不过各家公司在投资风格和偏好上有所不同。</w:t>
      </w:r>
    </w:p>
    <w:p>
      <w:r>
        <w:rPr>
          <w:rFonts w:ascii="等线(中文正文)" w:hAnsi="等线(中文正文)" w:cs="等线(中文正文)" w:eastAsia="等线(中文正文)"/>
          <w:b w:val="false"/>
          <w:i w:val="false"/>
          <w:sz w:val="20"/>
        </w:rPr>
        <w:t/>
      </w:r>
    </w:p>
    <w:p>
      <w:pPr>
        <w:pStyle w:val="ab"/>
      </w:pPr>
      <w:r>
        <w:t>监管要求下，保险公司为何需要配置股市股票？</w:t>
      </w:r>
    </w:p>
    <w:p>
      <w:r>
        <w:rPr>
          <w:rFonts w:ascii="等线(中文正文)" w:hAnsi="等线(中文正文)" w:cs="等线(中文正文)" w:eastAsia="等线(中文正文)"/>
          <w:b w:val="false"/>
          <w:i w:val="false"/>
          <w:sz w:val="20"/>
        </w:rPr>
        <w:t>发言人1：根据支付的资产负债管理办法中的净投资收益覆盖率指标，监管要求保险公司必须达到一定的息类收入，包括利息、股息和分红，因此即使对于不擅长股市投资的公司来说，也必须配置部分股票以满足监管要求。</w:t>
      </w:r>
    </w:p>
    <w:p>
      <w:r>
        <w:rPr>
          <w:rFonts w:ascii="等线(中文正文)" w:hAnsi="等线(中文正文)" w:cs="等线(中文正文)" w:eastAsia="等线(中文正文)"/>
          <w:b w:val="false"/>
          <w:i w:val="false"/>
          <w:sz w:val="20"/>
        </w:rPr>
        <w:t/>
      </w:r>
    </w:p>
    <w:p>
      <w:pPr>
        <w:pStyle w:val="ab"/>
      </w:pPr>
      <w:r>
        <w:t>保险公司总投资收益率的核心波动来源是什么？</w:t>
      </w:r>
    </w:p>
    <w:p>
      <w:r>
        <w:rPr>
          <w:rFonts w:ascii="等线(中文正文)" w:hAnsi="等线(中文正文)" w:cs="等线(中文正文)" w:eastAsia="等线(中文正文)"/>
          <w:b w:val="false"/>
          <w:i w:val="false"/>
          <w:sz w:val="20"/>
        </w:rPr>
        <w:t>发言人1：核心波动主要来自于权益市场，牛市时收益率较高，熊市时则较低。总体来看，过去几年保险公司总投资收益率中枢呈下降趋势。</w:t>
      </w:r>
    </w:p>
    <w:p>
      <w:r>
        <w:rPr>
          <w:rFonts w:ascii="等线(中文正文)" w:hAnsi="等线(中文正文)" w:cs="等线(中文正文)" w:eastAsia="等线(中文正文)"/>
          <w:b w:val="false"/>
          <w:i w:val="false"/>
          <w:sz w:val="20"/>
        </w:rPr>
        <w:t/>
      </w:r>
    </w:p>
    <w:p>
      <w:pPr>
        <w:pStyle w:val="ab"/>
      </w:pPr>
      <w:r>
        <w:t>在权益投资方面，为什么不同保险公司的投资收益会有显著差异？</w:t>
      </w:r>
    </w:p>
    <w:p>
      <w:r>
        <w:rPr>
          <w:rFonts w:ascii="等线(中文正文)" w:hAnsi="等线(中文正文)" w:cs="等线(中文正文)" w:eastAsia="等线(中文正文)"/>
          <w:b w:val="false"/>
          <w:i w:val="false"/>
          <w:sz w:val="20"/>
        </w:rPr>
        <w:t>发言人1：投资收益的差异主要源于几个方面：首先，各家公司对投资收益的贡献来源不同，如平安的股息贡献接近30%，而国寿和新华可能只有10%左右；其次，交易收益（买卖价差）在整体收益中占比不同，有的公司可能达到30%以上；再者，不同公司的投资风格有所差异，例如太保属于中间派。此外，公司的内部管理动作、考核指标以及大领导的投资理念也会影响整个投资行为。</w:t>
      </w:r>
    </w:p>
    <w:p>
      <w:r>
        <w:rPr>
          <w:rFonts w:ascii="等线(中文正文)" w:hAnsi="等线(中文正文)" w:cs="等线(中文正文)" w:eastAsia="等线(中文正文)"/>
          <w:b w:val="false"/>
          <w:i w:val="false"/>
          <w:sz w:val="20"/>
        </w:rPr>
        <w:t/>
      </w:r>
    </w:p>
    <w:p>
      <w:pPr>
        <w:pStyle w:val="ab"/>
      </w:pPr>
      <w:r>
        <w:t>保险公司在投资时是否会对不同类型的负债采取不同的投资策略？传统险、分红险等不同类型的保险产品在投资行为上有哪些区别？</w:t>
      </w:r>
    </w:p>
    <w:p>
      <w:r>
        <w:rPr>
          <w:rFonts w:ascii="等线(中文正文)" w:hAnsi="等线(中文正文)" w:cs="等线(中文正文)" w:eastAsia="等线(中文正文)"/>
          <w:b w:val="false"/>
          <w:i w:val="false"/>
          <w:sz w:val="20"/>
        </w:rPr>
        <w:t>发言人1：是的，保险公司需要进行精细化管理，针对不同的账户资金进行差异化投资。例如，传统账户、分红账户、万能账户等有不同的投资要求，因为每类账户的资金性质和客户要求各异，所以投资策略也会有所不同。传统险因其刚性成本相对较高且弹性要求不多，投资上通常偏向风险偏低的产品；而分红险等需要提高产品吸引力，则可能会选择风险偏好较高的投资标的。因此，投资行为会根据各类保险产品的特性来决定。</w:t>
      </w:r>
    </w:p>
    <w:p>
      <w:r>
        <w:rPr>
          <w:rFonts w:ascii="等线(中文正文)" w:hAnsi="等线(中文正文)" w:cs="等线(中文正文)" w:eastAsia="等线(中文正文)"/>
          <w:b w:val="false"/>
          <w:i w:val="false"/>
          <w:sz w:val="20"/>
        </w:rPr>
        <w:t/>
      </w:r>
    </w:p>
    <w:p>
      <w:pPr>
        <w:pStyle w:val="ab"/>
      </w:pPr>
      <w:r>
        <w:t>对于下半年保险资金的投资行为和市场影响有何预测？</w:t>
      </w:r>
    </w:p>
    <w:p>
      <w:r>
        <w:rPr>
          <w:rFonts w:ascii="等线(中文正文)" w:hAnsi="等线(中文正文)" w:cs="等线(中文正文)" w:eastAsia="等线(中文正文)"/>
          <w:b w:val="false"/>
          <w:i w:val="false"/>
          <w:sz w:val="20"/>
        </w:rPr>
        <w:t>发言人1：下半年保险资金入市规模预计约3000亿左右，整体市场处于战略机遇期，上下半年增速略有差异。投资风格上，短期内大家普遍持稳健态度，不会大幅调整板块配置，仓位保持相对稳定，不倾向于减仓。对于具体看好哪些板块或机会，各家机构看法不一，但总体认为市场仍处于震荡调整阶段，谨慎为主，等待合适时机进行布局。</w:t>
      </w:r>
    </w:p>
    <w:p>
      <w:r>
        <w:rPr>
          <w:rFonts w:ascii="等线(中文正文)" w:hAnsi="等线(中文正文)" w:cs="等线(中文正文)" w:eastAsia="等线(中文正文)"/>
          <w:b w:val="false"/>
          <w:i w:val="false"/>
          <w:sz w:val="20"/>
        </w:rPr>
        <w:t/>
      </w:r>
    </w:p>
    <w:p>
      <w:pPr>
        <w:pStyle w:val="ab"/>
      </w:pPr>
      <w:r>
        <w:t>对于保险股投资者而言，核心关注点是什么？</w:t>
      </w:r>
    </w:p>
    <w:p>
      <w:r>
        <w:rPr>
          <w:rFonts w:ascii="等线(中文正文)" w:hAnsi="等线(中文正文)" w:cs="等线(中文正文)" w:eastAsia="等线(中文正文)"/>
          <w:b w:val="false"/>
          <w:i w:val="false"/>
          <w:sz w:val="20"/>
        </w:rPr>
        <w:t>发言人1：核心关注公司的利润来源，尤其是公司的利差，其中传统型账户的利差对公司利润的影响尤为关键。因为新政策下，分红万能账户受到VFA吸收政策影响，其收益或亏损对资产负债表和利润表的影响较小，无需过分关注，而传统账户的表现将直接影响公司的整体利润表现。</w:t>
      </w:r>
    </w:p>
    <w:p>
      <w:r>
        <w:rPr>
          <w:rFonts w:ascii="等线(中文正文)" w:hAnsi="等线(中文正文)" w:cs="等线(中文正文)" w:eastAsia="等线(中文正文)"/>
          <w:b w:val="false"/>
          <w:i w:val="false"/>
          <w:sz w:val="20"/>
        </w:rPr>
        <w:t/>
      </w:r>
    </w:p>
    <w:p>
      <w:pPr>
        <w:pStyle w:val="ab"/>
      </w:pPr>
      <w:r>
        <w:t>近年来保险行业的负债状况及投资趋势如何？</w:t>
      </w:r>
    </w:p>
    <w:p>
      <w:r>
        <w:rPr>
          <w:rFonts w:ascii="等线(中文正文)" w:hAnsi="等线(中文正文)" w:cs="等线(中文正文)" w:eastAsia="等线(中文正文)"/>
          <w:b w:val="false"/>
          <w:i w:val="false"/>
          <w:sz w:val="20"/>
        </w:rPr>
        <w:t>发言人1：近年来，保险行业的负债端表现较好，受市场利率下调等因素影响，显示入市是一个大势所趋。监管政策也在鼓励保险资金长期入市，包括提高权益类资产占比和调整风险因子等措施。预计未来几年保险资金入市规模将持续增长，对国内A股市场形成一定的支撑作用。</w:t>
      </w:r>
    </w:p>
    <w:p>
      <w:r>
        <w:rPr>
          <w:rFonts w:ascii="等线(中文正文)" w:hAnsi="等线(中文正文)" w:cs="等线(中文正文)" w:eastAsia="等线(中文正文)"/>
          <w:b w:val="false"/>
          <w:i w:val="false"/>
          <w:sz w:val="20"/>
        </w:rPr>
        <w:t/>
      </w:r>
    </w:p>
    <w:p>
      <w:pPr>
        <w:pStyle w:val="ab"/>
      </w:pPr>
      <w:r>
        <w:t>在当前市场环境下，对于红利股或高股息股票的投资机会，您怎么看？保险公司的投资策略是否会偏向于高股息股票？</w:t>
      </w:r>
    </w:p>
    <w:p>
      <w:r>
        <w:rPr>
          <w:rFonts w:ascii="等线(中文正文)" w:hAnsi="等线(中文正文)" w:cs="等线(中文正文)" w:eastAsia="等线(中文正文)"/>
          <w:b w:val="false"/>
          <w:i w:val="false"/>
          <w:sz w:val="20"/>
        </w:rPr>
        <w:t>发言人1：我认为年底前会有机会关注红利股或高股息股票的投资价值。资产负债管理新规的出台可能会促使资金进行调整，向更高投资性价比的板块转移。尽管力度和具体走向还需观察市场环境走势，但阶段性可能会偏向均衡，年底可能更倾向于价值股。保险公司作为商业性机构，除了保本外还有盈利要求，并且有自身的考核指标。随着分红险转型，保险公司可能会增加对成长股的配置偏好，以满足客户需求和提高吸引力。</w:t>
      </w:r>
    </w:p>
    <w:p>
      <w:r>
        <w:rPr>
          <w:rFonts w:ascii="等线(中文正文)" w:hAnsi="等线(中文正文)" w:cs="等线(中文正文)" w:eastAsia="等线(中文正文)"/>
          <w:b w:val="false"/>
          <w:i w:val="false"/>
          <w:sz w:val="20"/>
        </w:rPr>
        <w:t/>
      </w:r>
    </w:p>
    <w:p>
      <w:pPr>
        <w:pStyle w:val="ab"/>
      </w:pPr>
      <w:r>
        <w:t>支付新规对保险行业资金配置有何影响？</w:t>
      </w:r>
    </w:p>
    <w:p>
      <w:r>
        <w:rPr>
          <w:rFonts w:ascii="等线(中文正文)" w:hAnsi="等线(中文正文)" w:cs="等线(中文正文)" w:eastAsia="等线(中文正文)"/>
          <w:b w:val="false"/>
          <w:i w:val="false"/>
          <w:sz w:val="20"/>
        </w:rPr>
        <w:t>发言人1：根据测算，存量保险行业资金中约有两千多亿欠配在高股息股票上。虽然欠费的具体补充时间是一个细节问题，但监管要求严格，需要在战略上考虑补足这部分配置。因此，在下半年到年底，建议关注银行、保险板块中高股息标的的投资价值。</w:t>
      </w:r>
    </w:p>
    <w:p>
      <w:r>
        <w:rPr>
          <w:rFonts w:ascii="等线(中文正文)" w:hAnsi="等线(中文正文)" w:cs="等线(中文正文)" w:eastAsia="等线(中文正文)"/>
          <w:b w:val="false"/>
          <w:i w:val="false"/>
          <w:sz w:val="20"/>
        </w:rPr>
        <w:t/>
      </w:r>
    </w:p>
    <w:p>
      <w:pPr>
        <w:pStyle w:val="ab"/>
      </w:pPr>
      <w:r>
        <w:t>未来几年A股市场的增量资金及风格偏向如何？</w:t>
      </w:r>
    </w:p>
    <w:p>
      <w:r>
        <w:rPr>
          <w:rFonts w:ascii="等线(中文正文)" w:hAnsi="等线(中文正文)" w:cs="等线(中文正文)" w:eastAsia="等线(中文正文)"/>
          <w:b w:val="false"/>
          <w:i w:val="false"/>
          <w:sz w:val="20"/>
        </w:rPr>
        <w:t>发言人1：未来几年A股市场仍有望保持成长性，增量资金规模可观，每年可能达到大几千亿级别，这将成为支撑整个行业长期发展的核心资金。投资风格上，在考虑分红险转型和监管新规的影响下，可能会呈现成长与价值并重的哑铃型结构，即只重点配置高股息和科技成长类股票，而中间部分的配置可能相对较少。</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2026-08-26T14:15:36Z</dcterms:created>
  <dc:creator>Apache POI</dc:creator>
</cp:coreProperties>
</file>