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老虎证券[TIGR.O]2026年第二季度业绩交流会 260826_导读</w:t>
      </w:r>
    </w:p>
    <w:p>
      <w:pPr>
        <w:pStyle w:val="a0"/>
        <w:jc w:val="center"/>
      </w:pPr>
      <w:r>
        <w:t>2026年08月26日 21:58</w:t>
      </w:r>
    </w:p>
    <w:p>
      <w:pPr>
        <w:pStyle w:val="a7"/>
      </w:pPr>
      <w:r>
        <w:t>关键词</w:t>
      </w:r>
    </w:p>
    <w:p>
      <w:r>
        <w:rPr>
          <w:rFonts w:ascii="等线(中文正文)" w:hAnsi="等线(中文正文)" w:cs="等线(中文正文)" w:eastAsia="等线(中文正文)"/>
          <w:b w:val="false"/>
          <w:i w:val="false"/>
          <w:sz w:val="20"/>
        </w:rPr>
        <w:t xml:space="preserve">财报 总收入 经营利润 净利润 用户增长 客户资产 新加坡 香港 美国 IPO to b业务 投行业务 美股 财务细节 佣金收入 所得税费用 有效税率 员工股权激励 递延所得税 罚款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公司在2026年第二季度实现了财务和运营的显著增长，总收入达到1.82亿美元，同比增长31.4%，经营利润为5680万美元。新增用户主要来自新加坡和香港市场，合计贡献超过70%，人均CAC从一季度的约420美元上升到二季度的约450美元，其中品牌投入占60%到70%，特别是在香港和新加坡的市场建设，推动了用户的人均金融资产增长。客户资产达607亿美元，环比增长3.1%。多渠道营销活动增强了品牌影响力和用户信任。预计下半年人均CAC将在450到550美元区间。佣金收入和利息相关收入显著提升，尤其是利息收入增长。公司对监管更新迅速响应，影响已在第二季度大部分消化完毕，强调全球市场发展和用户质量优先策略对公司业绩的正面影响。</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劳务国际2026年第二季度财报发布会</w:t>
      </w:r>
    </w:p>
    <w:p>
      <w:r>
        <w:rPr>
          <w:rFonts w:ascii="等线(中文正文)" w:hAnsi="等线(中文正文)" w:cs="等线(中文正文)" w:eastAsia="等线(中文正文)"/>
          <w:b w:val="false"/>
          <w:i w:val="false"/>
          <w:sz w:val="20"/>
        </w:rPr>
        <w:t>本次会议为劳务国际2026年第二季度财报发布会，旨在介绍公司运营情况及财务成果。会议包含财务报告、公司运营概述及问答环节。会议内容涉及前瞻性声明，可能与实际结果存在差异。</w:t>
      </w:r>
    </w:p>
    <w:p>
      <w:r>
        <w:rPr>
          <w:rFonts w:ascii="等线(中文正文)" w:hAnsi="等线(中文正文)" w:cs="等线(中文正文)" w:eastAsia="等线(中文正文)"/>
          <w:b w:val="false"/>
          <w:i w:val="false"/>
          <w:sz w:val="20"/>
        </w:rPr>
        <w:t/>
      </w:r>
    </w:p>
    <w:p>
      <w:pPr>
        <w:pStyle w:val="ab"/>
        <w:numPr>
          <w:numId w:val="2"/>
        </w:numPr>
      </w:pPr>
      <w:r>
        <w:t>02:10 2026年第二季度公司业绩创新高，用户与资产稳健增长</w:t>
      </w:r>
    </w:p>
    <w:p>
      <w:r>
        <w:rPr>
          <w:rFonts w:ascii="等线(中文正文)" w:hAnsi="等线(中文正文)" w:cs="等线(中文正文)" w:eastAsia="等线(中文正文)"/>
          <w:b w:val="false"/>
          <w:i w:val="false"/>
          <w:sz w:val="20"/>
        </w:rPr>
        <w:t>2026年第二季度，公司实现总收入1.82亿美金，环比增长17.7%，同比增长31.4%，创下历史新高。经营利润达到5680万美金，环比增长19.5%，同比增长12.6%。新增用户32600人，累计总用户数达131.5万人。客户总资产达607亿美元，环比增长3.1%，同比增长16.7%。香港、澳新及美国市场客户资产分别实现近30%、超过30%和近50%的环比增长，展现强劲增长韧性与广阔市场空间。</w:t>
      </w:r>
    </w:p>
    <w:p>
      <w:r>
        <w:rPr>
          <w:rFonts w:ascii="等线(中文正文)" w:hAnsi="等线(中文正文)" w:cs="等线(中文正文)" w:eastAsia="等线(中文正文)"/>
          <w:b w:val="false"/>
          <w:i w:val="false"/>
          <w:sz w:val="20"/>
        </w:rPr>
        <w:t/>
      </w:r>
    </w:p>
    <w:p>
      <w:pPr>
        <w:pStyle w:val="ab"/>
        <w:numPr>
          <w:numId w:val="3"/>
        </w:numPr>
      </w:pPr>
      <w:r>
        <w:t>05:49 全球市场基金账户与资产增长显著</w:t>
      </w:r>
    </w:p>
    <w:p>
      <w:r>
        <w:rPr>
          <w:rFonts w:ascii="等线(中文正文)" w:hAnsi="等线(中文正文)" w:cs="等线(中文正文)" w:eastAsia="等线(中文正文)"/>
          <w:b w:val="false"/>
          <w:i w:val="false"/>
          <w:sz w:val="20"/>
        </w:rPr>
        <w:t>本季度新增32,600个基金账户，同比增长12.7%，主要来自新加坡和国内市场。截至二季度末，总基金账户达132万，同比增长10.3%。市场资产零售用户持续贡献，新加坡和国内市场资金流入超1.5亿美元，二季度末总资产达60.7亿美元，环比增长3.1%，同比增长16.7%。香港市场通过线下推广活动，品牌曝光度提升，当地用户增长近30%。澳大利亚和美国市场资产分别环比增长超30%和近50%。全球策略与多元化业务发展赢得新老用户信任，展望未来增长前景乐观。</w:t>
      </w:r>
    </w:p>
    <w:p>
      <w:r>
        <w:rPr>
          <w:rFonts w:ascii="等线(中文正文)" w:hAnsi="等线(中文正文)" w:cs="等线(中文正文)" w:eastAsia="等线(中文正文)"/>
          <w:b w:val="false"/>
          <w:i w:val="false"/>
          <w:sz w:val="20"/>
        </w:rPr>
        <w:t/>
      </w:r>
    </w:p>
    <w:p>
      <w:pPr>
        <w:pStyle w:val="ab"/>
        <w:numPr>
          <w:numId w:val="4"/>
        </w:numPr>
      </w:pPr>
      <w:r>
        <w:t>07:45 二季度强化本地化与品牌曝光，提升用户体验与投资产品丰富度</w:t>
      </w:r>
    </w:p>
    <w:p>
      <w:r>
        <w:rPr>
          <w:rFonts w:ascii="等线(中文正文)" w:hAnsi="等线(中文正文)" w:cs="等线(中文正文)" w:eastAsia="等线(中文正文)"/>
          <w:b w:val="false"/>
          <w:i w:val="false"/>
          <w:sz w:val="20"/>
        </w:rPr>
        <w:t>第二季度，针对新加坡市场，推出本地化交易功能及报税工具，降低投资门槛与合规成本。香港市场加大品牌投入，举办space主题营销活动，上线CBOE指数期权交易，丰富投资产品，提升品牌影响力。</w:t>
      </w:r>
    </w:p>
    <w:p>
      <w:r>
        <w:rPr>
          <w:rFonts w:ascii="等线(中文正文)" w:hAnsi="等线(中文正文)" w:cs="等线(中文正文)" w:eastAsia="等线(中文正文)"/>
          <w:b w:val="false"/>
          <w:i w:val="false"/>
          <w:sz w:val="20"/>
        </w:rPr>
        <w:t/>
      </w:r>
    </w:p>
    <w:p>
      <w:pPr>
        <w:pStyle w:val="ab"/>
        <w:numPr>
          <w:numId w:val="5"/>
        </w:numPr>
      </w:pPr>
      <w:r>
        <w:t>11:16 2026年二季度劳务国际to b业务稳健增长</w:t>
      </w:r>
    </w:p>
    <w:p>
      <w:r>
        <w:rPr>
          <w:rFonts w:ascii="等线(中文正文)" w:hAnsi="等线(中文正文)" w:cs="等线(中文正文)" w:eastAsia="等线(中文正文)"/>
          <w:b w:val="false"/>
          <w:i w:val="false"/>
          <w:sz w:val="20"/>
        </w:rPr>
        <w:t>2026年第二季度，劳务国际的to b业务在港股和美股IPO项目中持续表现强劲，覆盖了AI、硬科技、智能制造、汽车半导体等重点赛道，参与了多家行业龙头企业的上市项目。同时，公司新增50家客户，累计服务预售客户达840家，实现了稳健增长。</w:t>
      </w:r>
    </w:p>
    <w:p>
      <w:r>
        <w:rPr>
          <w:rFonts w:ascii="等线(中文正文)" w:hAnsi="等线(中文正文)" w:cs="等线(中文正文)" w:eastAsia="等线(中文正文)"/>
          <w:b w:val="false"/>
          <w:i w:val="false"/>
          <w:sz w:val="20"/>
        </w:rPr>
        <w:t/>
      </w:r>
    </w:p>
    <w:p>
      <w:pPr>
        <w:pStyle w:val="ab"/>
        <w:numPr>
          <w:numId w:val="6"/>
        </w:numPr>
      </w:pPr>
      <w:r>
        <w:t>14:20 第二季度财务业绩概览与分析</w:t>
      </w:r>
    </w:p>
    <w:p>
      <w:r>
        <w:rPr>
          <w:rFonts w:ascii="等线(中文正文)" w:hAnsi="等线(中文正文)" w:cs="等线(中文正文)" w:eastAsia="等线(中文正文)"/>
          <w:b w:val="false"/>
          <w:i w:val="false"/>
          <w:sz w:val="20"/>
        </w:rPr>
        <w:t>报告了第二季度的财务表现，包括佣金收入、利息收入、总营收的增长，以及成本和费用的增加。特别指出，尽管交易量增加，但由于美国市场的零佣金政策，这部分交易量未转化为佣金收入。此外，公司强调了对高质量用户的获取和全球资产管理基础的扩展。报告还提到了累计回购股票的情况，并宣布可能继续执行股票回购计划。</w:t>
      </w:r>
    </w:p>
    <w:p>
      <w:r>
        <w:rPr>
          <w:rFonts w:ascii="等线(中文正文)" w:hAnsi="等线(中文正文)" w:cs="等线(中文正文)" w:eastAsia="等线(中文正文)"/>
          <w:b w:val="false"/>
          <w:i w:val="false"/>
          <w:sz w:val="20"/>
        </w:rPr>
        <w:t/>
      </w:r>
    </w:p>
    <w:p>
      <w:pPr>
        <w:pStyle w:val="ab"/>
        <w:numPr>
          <w:numId w:val="7"/>
        </w:numPr>
      </w:pPr>
      <w:r>
        <w:t>18:15 二季度财务表现与未来预期探讨</w:t>
      </w:r>
    </w:p>
    <w:p>
      <w:r>
        <w:rPr>
          <w:rFonts w:ascii="等线(中文正文)" w:hAnsi="等线(中文正文)" w:cs="等线(中文正文)" w:eastAsia="等线(中文正文)"/>
          <w:b w:val="false"/>
          <w:i w:val="false"/>
          <w:sz w:val="20"/>
        </w:rPr>
        <w:t>对话围绕二季度强劲的收入和经营利润增长展开，同时关注other income项下的224万亏损及高所得税费用现象，询问背后原因及未来预期税率。此外，还探讨了三季度以来的经营趋势，包括交易活跃度、客户资产新增及入境用户数等表现。</w:t>
      </w:r>
    </w:p>
    <w:p>
      <w:r>
        <w:rPr>
          <w:rFonts w:ascii="等线(中文正文)" w:hAnsi="等线(中文正文)" w:cs="等线(中文正文)" w:eastAsia="等线(中文正文)"/>
          <w:b w:val="false"/>
          <w:i w:val="false"/>
          <w:sz w:val="20"/>
        </w:rPr>
        <w:t/>
      </w:r>
    </w:p>
    <w:p>
      <w:pPr>
        <w:pStyle w:val="ab"/>
        <w:numPr>
          <w:numId w:val="8"/>
        </w:numPr>
      </w:pPr>
      <w:r>
        <w:t>20:34 公司财务报告分析：汇兑损失与所得税费用异常</w:t>
      </w:r>
    </w:p>
    <w:p>
      <w:r>
        <w:rPr>
          <w:rFonts w:ascii="等线(中文正文)" w:hAnsi="等线(中文正文)" w:cs="等线(中文正文)" w:eastAsia="等线(中文正文)"/>
          <w:b w:val="false"/>
          <w:i w:val="false"/>
          <w:sz w:val="20"/>
        </w:rPr>
        <w:t>讨论了公司第二季度200万美元的汇兑损失，主要源于人民币升值和美元贬值。同时，分析了所得税费用高于正常水平的原因，包括员工股权激励导致的递延所得税资产调整和一次性罚款的影响。预计下半年将优化税务安排，减少所得税费用。</w:t>
      </w:r>
    </w:p>
    <w:p>
      <w:r>
        <w:rPr>
          <w:rFonts w:ascii="等线(中文正文)" w:hAnsi="等线(中文正文)" w:cs="等线(中文正文)" w:eastAsia="等线(中文正文)"/>
          <w:b w:val="false"/>
          <w:i w:val="false"/>
          <w:sz w:val="20"/>
        </w:rPr>
        <w:t/>
      </w:r>
    </w:p>
    <w:p>
      <w:pPr>
        <w:pStyle w:val="ab"/>
        <w:numPr>
          <w:numId w:val="9"/>
        </w:numPr>
      </w:pPr>
      <w:r>
        <w:t>25:26 第三季度客户资产与交易活动分析</w:t>
      </w:r>
    </w:p>
    <w:p>
      <w:r>
        <w:rPr>
          <w:rFonts w:ascii="等线(中文正文)" w:hAnsi="等线(中文正文)" w:cs="等线(中文正文)" w:eastAsia="等线(中文正文)"/>
          <w:b w:val="false"/>
          <w:i w:val="false"/>
          <w:sz w:val="20"/>
        </w:rPr>
        <w:t>第三季度客户资产延续稳健增长，环比实现高个位数增长，新增入境用户质量提升，人均投入达2.5万美元，与质量优先策略一致。交易活动方面，受市场回调影响，交易额和佣金较第二季度略有下降，但新增用户数预计上升，香港和新加坡为主要贡献市场。</w:t>
      </w:r>
    </w:p>
    <w:p>
      <w:r>
        <w:rPr>
          <w:rFonts w:ascii="等线(中文正文)" w:hAnsi="等线(中文正文)" w:cs="等线(中文正文)" w:eastAsia="等线(中文正文)"/>
          <w:b w:val="false"/>
          <w:i w:val="false"/>
          <w:sz w:val="20"/>
        </w:rPr>
        <w:t/>
      </w:r>
    </w:p>
    <w:p>
      <w:pPr>
        <w:pStyle w:val="ab"/>
        <w:numPr>
          <w:numId w:val="10"/>
        </w:numPr>
      </w:pPr>
      <w:r>
        <w:t>28:44 监管政策影响与公司业绩稳定性分析</w:t>
      </w:r>
    </w:p>
    <w:p>
      <w:r>
        <w:rPr>
          <w:rFonts w:ascii="等线(中文正文)" w:hAnsi="等线(中文正文)" w:cs="等线(中文正文)" w:eastAsia="等线(中文正文)"/>
          <w:b w:val="false"/>
          <w:i w:val="false"/>
          <w:sz w:val="20"/>
        </w:rPr>
        <w:t>对话围绕监管政策更新后的影响及公司业绩稳定性展开。政策层面，公司已全面遵守并实施监测机制，未收到进一步政策调整。用户行为方面，大陆零售用户资产和收入占比下降，资金流动趋于稳定，但整体影响已基本消除。公司核心增长动力来自全球市场，第二季度国际化市场客户资产实现环比增长，显示调整对中长期业务基本面无实质性影响。</w:t>
      </w:r>
    </w:p>
    <w:p>
      <w:r>
        <w:rPr>
          <w:rFonts w:ascii="等线(中文正文)" w:hAnsi="等线(中文正文)" w:cs="等线(中文正文)" w:eastAsia="等线(中文正文)"/>
          <w:b w:val="false"/>
          <w:i w:val="false"/>
          <w:sz w:val="20"/>
        </w:rPr>
        <w:t/>
      </w:r>
    </w:p>
    <w:p>
      <w:pPr>
        <w:pStyle w:val="ab"/>
        <w:numPr>
          <w:numId w:val="11"/>
        </w:numPr>
      </w:pPr>
      <w:r>
        <w:t>35:06 美股正股take率下降原因分析</w:t>
      </w:r>
    </w:p>
    <w:p>
      <w:r>
        <w:rPr>
          <w:rFonts w:ascii="等线(中文正文)" w:hAnsi="等线(中文正文)" w:cs="等线(中文正文)" w:eastAsia="等线(中文正文)"/>
          <w:b w:val="false"/>
          <w:i w:val="false"/>
          <w:sz w:val="20"/>
        </w:rPr>
        <w:t>美股正股take rate从一季度的5.9bps降至三季度的3.6bps，主要归因于AI半导体板块交易量占比上升、纳斯达克指数大幅上涨及新增高频交易用户的影响。未来股价回调可能提升take rate，预计三季度将有所回升。</w:t>
      </w:r>
    </w:p>
    <w:p>
      <w:r>
        <w:rPr>
          <w:rFonts w:ascii="等线(中文正文)" w:hAnsi="等线(中文正文)" w:cs="等线(中文正文)" w:eastAsia="等线(中文正文)"/>
          <w:b w:val="false"/>
          <w:i w:val="false"/>
          <w:sz w:val="20"/>
        </w:rPr>
        <w:t/>
      </w:r>
    </w:p>
    <w:p>
      <w:pPr>
        <w:pStyle w:val="ab"/>
        <w:numPr>
          <w:numId w:val="12"/>
        </w:numPr>
      </w:pPr>
      <w:r>
        <w:t>38:58 二季度新增用户构成与市场费用分析</w:t>
      </w:r>
    </w:p>
    <w:p>
      <w:r>
        <w:rPr>
          <w:rFonts w:ascii="等线(中文正文)" w:hAnsi="等线(中文正文)" w:cs="等线(中文正文)" w:eastAsia="等线(中文正文)"/>
          <w:b w:val="false"/>
          <w:i w:val="false"/>
          <w:sz w:val="20"/>
        </w:rPr>
        <w:t>对话主要围绕二季度新增用户的区域构成及市场费用的变动原因展开。新增用户主要来自新加坡、香港，占比超70%，澳新市场贡献25%，美国市场占剩余部分。市场费用增加主要归因于品牌建设投入，特别是在香港和新加坡，带来了高质量用户，人均金融资产显著提升。预计下半年人均CAC将在450至550美金区间。</w:t>
      </w:r>
    </w:p>
    <w:p>
      <w:r>
        <w:rPr>
          <w:rFonts w:ascii="等线(中文正文)" w:hAnsi="等线(中文正文)" w:cs="等线(中文正文)" w:eastAsia="等线(中文正文)"/>
          <w:b w:val="false"/>
          <w:i w:val="false"/>
          <w:sz w:val="20"/>
        </w:rPr>
        <w:t/>
      </w:r>
    </w:p>
    <w:p>
      <w:pPr>
        <w:pStyle w:val="a7"/>
      </w:pPr>
      <w:r>
        <w:t>发言总结</w:t>
      </w:r>
    </w:p>
    <w:p>
      <w:pPr>
        <w:pStyle w:val="ab"/>
        <w:numPr>
          <w:numId w:val="13"/>
        </w:numPr>
      </w:pPr>
      <w:r>
        <w:t>发言人1</w:t>
      </w:r>
    </w:p>
    <w:p>
      <w:r>
        <w:rPr>
          <w:rFonts w:ascii="等线(中文正文)" w:hAnsi="等线(中文正文)" w:cs="等线(中文正文)" w:eastAsia="等线(中文正文)"/>
          <w:b w:val="false"/>
          <w:i w:val="false"/>
          <w:sz w:val="20"/>
        </w:rPr>
        <w:t>他在财报电话会议中概述了老虎国际2026年第二季度的财务业绩和运营情况。他首先强调会议记录情况并介绍管理层成员，随后详细讨论了公司财务表现，包括总收入、经营利润和净利润的显著增长，以及用户增长和客户资产的提升。他还提及了公司对监管变化的响应措施，如上线监测机制以确保合规，并强调公司适应了新政策环境。此外，他谈到了用户行为的变化，特别是在大陆市场的调整，以及公司通过品牌活动和本地化服务吸引新用户的努力。面对监管政策的未来走向，他表示公司正在密切关注并准备调整以保持业务连续性。
他还讨论了现金提取率的变化，提到市场因素导致的不确定性，以及第三季度可能的回升。对于市场费用，他解释了人均CAC的上升，并强调将根据市场情况动态调整获客策略。最后，他感谢与会者并表示如有任何问题可联系公司IR团队。</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问：在本次会议上，公司管理层将进行哪些议程的讨论？公司第二季度的财务表现如何？</w:t>
      </w:r>
    </w:p>
    <w:p>
      <w:r>
        <w:rPr>
          <w:rFonts w:ascii="等线(中文正文)" w:hAnsi="等线(中文正文)" w:cs="等线(中文正文)" w:eastAsia="等线(中文正文)"/>
          <w:b w:val="false"/>
          <w:i w:val="false"/>
          <w:sz w:val="20"/>
        </w:rPr>
        <w:t>发言人1 答：本次会议中，公司管理层将首先进行一个概述运营情况和讨论公司战略的环节，随后会详细汇报财务成果。CEO吴天华、主席以及C.E.O将发表开场致辞并介绍公司最新动态，而负责投资者关系的Arne先生也将参与其中，并回答后续提问。此外，他们还会就公司发布的第二季度财报进行详细解读。第二季度，公司的总收入达到了1.82亿美元，创下了历史新高，相比上季度增长了17.7%，比去年同期增长31.4%。经营利润为5680万美元，环比上升19.5%，同比增长12.6%。归属于老虎国际的净利润分别达到了3940万美元和4280万美元，实现了扭亏为盈。</w:t>
      </w:r>
    </w:p>
    <w:p>
      <w:r>
        <w:rPr>
          <w:rFonts w:ascii="等线(中文正文)" w:hAnsi="等线(中文正文)" w:cs="等线(中文正文)" w:eastAsia="等线(中文正文)"/>
          <w:b w:val="false"/>
          <w:i w:val="false"/>
          <w:sz w:val="20"/>
        </w:rPr>
        <w:t/>
      </w:r>
    </w:p>
    <w:p>
      <w:pPr>
        <w:pStyle w:val="ab"/>
      </w:pPr>
      <w:r>
        <w:t>发言人1 问：第二季度公司用户增长及客户资产的情况如何？</w:t>
      </w:r>
    </w:p>
    <w:p>
      <w:r>
        <w:rPr>
          <w:rFonts w:ascii="等线(中文正文)" w:hAnsi="等线(中文正文)" w:cs="等线(中文正文)" w:eastAsia="等线(中文正文)"/>
          <w:b w:val="false"/>
          <w:i w:val="false"/>
          <w:sz w:val="20"/>
        </w:rPr>
        <w:t>发言人1 答：本季度，公司新增用户32,600人，环比上升12.7%，其中大部分新增用户来自新加坡和香港市场。截至第二季度末，公司累计总租户数达到131.5万人，较去年同期增长10.3%。客户资产方面，第二季度新加坡、香港等市场零售用户的进入金规模稳健，客户总资产达到607亿美元，环比增长3.1%，同比增长16.7%。</w:t>
      </w:r>
    </w:p>
    <w:p>
      <w:r>
        <w:rPr>
          <w:rFonts w:ascii="等线(中文正文)" w:hAnsi="等线(中文正文)" w:cs="等线(中文正文)" w:eastAsia="等线(中文正文)"/>
          <w:b w:val="false"/>
          <w:i w:val="false"/>
          <w:sz w:val="20"/>
        </w:rPr>
        <w:t/>
      </w:r>
    </w:p>
    <w:p>
      <w:pPr>
        <w:pStyle w:val="ab"/>
      </w:pPr>
      <w:r>
        <w:t>发言人1 问：公司在各海外市场有哪些积极表现？</w:t>
      </w:r>
    </w:p>
    <w:p>
      <w:r>
        <w:rPr>
          <w:rFonts w:ascii="等线(中文正文)" w:hAnsi="等线(中文正文)" w:cs="等线(中文正文)" w:eastAsia="等线(中文正文)"/>
          <w:b w:val="false"/>
          <w:i w:val="false"/>
          <w:sz w:val="20"/>
        </w:rPr>
        <w:t>发言人1 答：在海外市场，公司取得了显著成绩。澳大利亚和美国市场的客户资产分别实现了超过30%和近50%的环比增长，这体现了公司国际化战略的成功实施以及核心业务多元化发展的优势。特别是在香港市场，通过推出线下推广活动和品牌曝光，带动了本地客户资产环比增长近30%。</w:t>
      </w:r>
    </w:p>
    <w:p>
      <w:r>
        <w:rPr>
          <w:rFonts w:ascii="等线(中文正文)" w:hAnsi="等线(中文正文)" w:cs="等线(中文正文)" w:eastAsia="等线(中文正文)"/>
          <w:b w:val="false"/>
          <w:i w:val="false"/>
          <w:sz w:val="20"/>
        </w:rPr>
        <w:t/>
      </w:r>
    </w:p>
    <w:p>
      <w:pPr>
        <w:pStyle w:val="ab"/>
      </w:pPr>
      <w:r>
        <w:t>发言人1 问：公司在第二季度做了哪些本地化服务和用户体验提升的工作？</w:t>
      </w:r>
    </w:p>
    <w:p>
      <w:r>
        <w:rPr>
          <w:rFonts w:ascii="等线(中文正文)" w:hAnsi="等线(中文正文)" w:cs="等线(中文正文)" w:eastAsia="等线(中文正文)"/>
          <w:b w:val="false"/>
          <w:i w:val="false"/>
          <w:sz w:val="20"/>
        </w:rPr>
        <w:t>发言人1 答：第二季度，公司持续优化本地化功能并增强品牌曝光度以提升用户体验。针对新加坡市场，推出了新加坡股票及瑞士税务交易功能，降低了交易门槛，同时推出了专属报税工具以简化合规成本和报税复杂度。在香港市场，加大了品牌投入并强化了本地化运营，包括举办品牌营销活动、CPOE指数期权交易上线及相关投资者教育活动，进一步丰富了本地投资者的产品选择。</w:t>
      </w:r>
    </w:p>
    <w:p>
      <w:r>
        <w:rPr>
          <w:rFonts w:ascii="等线(中文正文)" w:hAnsi="等线(中文正文)" w:cs="等线(中文正文)" w:eastAsia="等线(中文正文)"/>
          <w:b w:val="false"/>
          <w:i w:val="false"/>
          <w:sz w:val="20"/>
        </w:rPr>
        <w:t/>
      </w:r>
    </w:p>
    <w:p>
      <w:pPr>
        <w:pStyle w:val="ab"/>
      </w:pPr>
      <w:r>
        <w:t>发言人1 问：What are the key developments in the localization functions and user experience in the second quarter?</w:t>
      </w:r>
    </w:p>
    <w:p>
      <w:r>
        <w:rPr>
          <w:rFonts w:ascii="等线(中文正文)" w:hAnsi="等线(中文正文)" w:cs="等线(中文正文)" w:eastAsia="等线(中文正文)"/>
          <w:b w:val="false"/>
          <w:i w:val="false"/>
          <w:sz w:val="20"/>
        </w:rPr>
        <w:t>发言人1 答：In the second quarter, the company focused on localizing functions and enhancing the user experience while increasing brand exposure to deepen user engagement. In the Singapore market, they strengthened local life trading capabilities by launching fractional share trading, which lowered trading entry barriers. They also simplified user compliance costs and reduced completion of tax declarations by rolling out a dedicated tax reporting feature in Singapore. The company further scaled up its buy and local operations.</w:t>
      </w:r>
    </w:p>
    <w:p>
      <w:r>
        <w:rPr>
          <w:rFonts w:ascii="等线(中文正文)" w:hAnsi="等线(中文正文)" w:cs="等线(中文正文)" w:eastAsia="等线(中文正文)"/>
          <w:b w:val="false"/>
          <w:i w:val="false"/>
          <w:sz w:val="20"/>
        </w:rPr>
        <w:t/>
      </w:r>
    </w:p>
    <w:p>
      <w:pPr>
        <w:pStyle w:val="ab"/>
      </w:pPr>
      <w:r>
        <w:t>发言人1 问：What marketing activities were conducted to support the brand's growth?</w:t>
      </w:r>
    </w:p>
    <w:p>
      <w:r>
        <w:rPr>
          <w:rFonts w:ascii="等线(中文正文)" w:hAnsi="等线(中文正文)" w:cs="等线(中文正文)" w:eastAsia="等线(中文正文)"/>
          <w:b w:val="false"/>
          <w:i w:val="false"/>
          <w:sz w:val="20"/>
        </w:rPr>
        <w:t>发言人1 答：The company built a marketing campaign around Space Act activation, utilizing an integrated IT solution that included out-of-home advertising, social media, exclusive new user rewards, advertising placements, and events at the Hong Kong airport. Additionally, they launched CBOE index option trading in Hong Kong and organized a series of investor education events for Tiger XCBOE index options.</w:t>
      </w:r>
    </w:p>
    <w:p>
      <w:r>
        <w:rPr>
          <w:rFonts w:ascii="等线(中文正文)" w:hAnsi="等线(中文正文)" w:cs="等线(中文正文)" w:eastAsia="等线(中文正文)"/>
          <w:b w:val="false"/>
          <w:i w:val="false"/>
          <w:sz w:val="20"/>
        </w:rPr>
        <w:t/>
      </w:r>
    </w:p>
    <w:p>
      <w:pPr>
        <w:pStyle w:val="ab"/>
      </w:pPr>
      <w:r>
        <w:t>发言人1 问：How did the to B business perform in the second quarter of 2026?</w:t>
      </w:r>
    </w:p>
    <w:p>
      <w:r>
        <w:rPr>
          <w:rFonts w:ascii="等线(中文正文)" w:hAnsi="等线(中文正文)" w:cs="等线(中文正文)" w:eastAsia="等线(中文正文)"/>
          <w:b w:val="false"/>
          <w:i w:val="false"/>
          <w:sz w:val="20"/>
        </w:rPr>
        <w:t>发言人1 答：The to B business, or the investment banking segment, maintained a robust performance in the second quarter of 2026. The投行业务 side saw direct access to missing港股IPO projects, with a focus on AI and hard科技 sectors. They covered key companies such as Qian and Tech, Deep Mind, and Cogito, among others, and participated in the offerings of商米科技、易飞科技、先工智能、清洁电子等智能制造与汽车半导体企业的发行, This further solidified the company's market presence in technology and innovation company listing services.</w:t>
      </w:r>
    </w:p>
    <w:p>
      <w:r>
        <w:rPr>
          <w:rFonts w:ascii="等线(中文正文)" w:hAnsi="等线(中文正文)" w:cs="等线(中文正文)" w:eastAsia="等线(中文正文)"/>
          <w:b w:val="false"/>
          <w:i w:val="false"/>
          <w:sz w:val="20"/>
        </w:rPr>
        <w:t/>
      </w:r>
    </w:p>
    <w:p>
      <w:pPr>
        <w:pStyle w:val="ab"/>
      </w:pPr>
      <w:r>
        <w:t>发言人1 问：What is the update on the toB business's client acquisition and total client count?</w:t>
      </w:r>
    </w:p>
    <w:p>
      <w:r>
        <w:rPr>
          <w:rFonts w:ascii="等线(中文正文)" w:hAnsi="等线(中文正文)" w:cs="等线(中文正文)" w:eastAsia="等线(中文正文)"/>
          <w:b w:val="false"/>
          <w:i w:val="false"/>
          <w:sz w:val="20"/>
        </w:rPr>
        <w:t>发言人1 答：The toB business achieved稳健增长, adding 50 new clients in the quarter. As of June 30, 2026, the company had a cumulative total of 840 service clients.</w:t>
      </w:r>
    </w:p>
    <w:p>
      <w:r>
        <w:rPr>
          <w:rFonts w:ascii="等线(中文正文)" w:hAnsi="等线(中文正文)" w:cs="等线(中文正文)" w:eastAsia="等线(中文正文)"/>
          <w:b w:val="false"/>
          <w:i w:val="false"/>
          <w:sz w:val="20"/>
        </w:rPr>
        <w:t/>
      </w:r>
    </w:p>
    <w:p>
      <w:pPr>
        <w:pStyle w:val="ab"/>
      </w:pPr>
      <w:r>
        <w:t>发言人1 问：Can you detail the financial performance for the second quarter of 2026?</w:t>
      </w:r>
    </w:p>
    <w:p>
      <w:r>
        <w:rPr>
          <w:rFonts w:ascii="等线(中文正文)" w:hAnsi="等线(中文正文)" w:cs="等线(中文正文)" w:eastAsia="等线(中文正文)"/>
          <w:b w:val="false"/>
          <w:i w:val="false"/>
          <w:sz w:val="20"/>
        </w:rPr>
        <w:t>发言人1 答：For the second quarter of 2026, the company reported significant financial results: commissions income reached $78.3 million, up 21% year over year and 17% sequentially. Interest income increased 36% year over year to $79.8 million and 24% sequentially. Total revenue stood at $182 million, marking an all-time high, up 31% year over year and 18% quarter over quarter. The cost of revenue was $21.5 million, up 19% year over year and 24% quarter over quarter. The net loss was $39.4 million versus a net loss of $42.8 million in the previous quarter and a net income of $5.08 million in the same quarter of the prior year. The effective tax rate for the quarter was -157.5% due to the impact of a one-time penalty in the first quarter. The company has cumulatively repurchased $5 million worth of shares under the share repurchase plan announced on June 2, 2026.</w:t>
      </w:r>
    </w:p>
    <w:p>
      <w:r>
        <w:rPr>
          <w:rFonts w:ascii="等线(中文正文)" w:hAnsi="等线(中文正文)" w:cs="等线(中文正文)" w:eastAsia="等线(中文正文)"/>
          <w:b w:val="false"/>
          <w:i w:val="false"/>
          <w:sz w:val="20"/>
        </w:rPr>
        <w:t/>
      </w:r>
    </w:p>
    <w:p>
      <w:pPr>
        <w:pStyle w:val="ab"/>
      </w:pPr>
      <w:r>
        <w:t>发言人1 问：Why was there a loss in other expenses, and what is the company's view on this moving forward?</w:t>
      </w:r>
    </w:p>
    <w:p>
      <w:r>
        <w:rPr>
          <w:rFonts w:ascii="等线(中文正文)" w:hAnsi="等线(中文正文)" w:cs="等线(中文正文)" w:eastAsia="等线(中文正文)"/>
          <w:b w:val="false"/>
          <w:i w:val="false"/>
          <w:sz w:val="20"/>
        </w:rPr>
        <w:t>发言人1 答：The loss in other expenses was $224,000, which may be attributed to a specific event or situation not detailed in the transcript. For the future, the company did not provide a specific outlook on this item but it is suggested to analyze future financial reports for further insight.</w:t>
      </w:r>
    </w:p>
    <w:p>
      <w:r>
        <w:rPr>
          <w:rFonts w:ascii="等线(中文正文)" w:hAnsi="等线(中文正文)" w:cs="等线(中文正文)" w:eastAsia="等线(中文正文)"/>
          <w:b w:val="false"/>
          <w:i w:val="false"/>
          <w:sz w:val="20"/>
        </w:rPr>
        <w:t/>
      </w:r>
    </w:p>
    <w:p>
      <w:pPr>
        <w:pStyle w:val="ab"/>
      </w:pPr>
      <w:r>
        <w:t>发言人1 问：Why is the effective tax rate in the second quarter higher than the normal level, and what is the expected range for a normal effective tax rate?</w:t>
      </w:r>
    </w:p>
    <w:p>
      <w:r>
        <w:rPr>
          <w:rFonts w:ascii="等线(中文正文)" w:hAnsi="等线(中文正文)" w:cs="等线(中文正文)" w:eastAsia="等线(中文正文)"/>
          <w:b w:val="false"/>
          <w:i w:val="false"/>
          <w:sz w:val="20"/>
        </w:rPr>
        <w:t>发言人1 答：The effective tax rate in the second quarter was接近28%, which is higher than a normal level. The specific reason for this was not directly stated in the transcript but it could be attributed to certain one-time or significant items that affected the tax provision for the period. The company did not provide a clear expectation for the normal effective tax rate, but investors are advised to look at the company's future financial reports for further guidance.</w:t>
      </w:r>
    </w:p>
    <w:p>
      <w:r>
        <w:rPr>
          <w:rFonts w:ascii="等线(中文正文)" w:hAnsi="等线(中文正文)" w:cs="等线(中文正文)" w:eastAsia="等线(中文正文)"/>
          <w:b w:val="false"/>
          <w:i w:val="false"/>
          <w:sz w:val="20"/>
        </w:rPr>
        <w:t/>
      </w:r>
    </w:p>
    <w:p>
      <w:pPr>
        <w:pStyle w:val="ab"/>
      </w:pPr>
      <w:r>
        <w:t>发言人1 问：管理层能否分享一下三季度以来的经营趋势，包括交易活跃度、客户资产新增以及入境用户数等方面的表现？</w:t>
      </w:r>
    </w:p>
    <w:p>
      <w:r>
        <w:rPr>
          <w:rFonts w:ascii="等线(中文正文)" w:hAnsi="等线(中文正文)" w:cs="等线(中文正文)" w:eastAsia="等线(中文正文)"/>
          <w:b w:val="false"/>
          <w:i w:val="false"/>
          <w:sz w:val="20"/>
        </w:rPr>
        <w:t>发言人1 答：（未给出直接回答）</w:t>
      </w:r>
    </w:p>
    <w:p>
      <w:r>
        <w:rPr>
          <w:rFonts w:ascii="等线(中文正文)" w:hAnsi="等线(中文正文)" w:cs="等线(中文正文)" w:eastAsia="等线(中文正文)"/>
          <w:b w:val="false"/>
          <w:i w:val="false"/>
          <w:sz w:val="20"/>
        </w:rPr>
        <w:t/>
      </w:r>
    </w:p>
    <w:p>
      <w:pPr>
        <w:pStyle w:val="ab"/>
      </w:pPr>
      <w:r>
        <w:t>发言人1 问：在其他项目中出现的200万美金损失的原因是什么？以及对于二季度所得税率高于正常水平的原因进行说明，并展望未来正常所得税率的预期。</w:t>
      </w:r>
    </w:p>
    <w:p>
      <w:r>
        <w:rPr>
          <w:rFonts w:ascii="等线(中文正文)" w:hAnsi="等线(中文正文)" w:cs="等线(中文正文)" w:eastAsia="等线(中文正文)"/>
          <w:b w:val="false"/>
          <w:i w:val="false"/>
          <w:sz w:val="20"/>
        </w:rPr>
        <w:t>发言人1 答：该损失主要是由于二季度人民币持续升值导致美元相应贬值所引起的报表汇兑损失。关于所得税，公司认为其有效税率应在10%到15%之间是合理的。二季度所得税高于正常水平主要有两个原因：一是员工股权激励带来的非现金递延所得税调整；二是5月22日后公司股价下跌，未归属员工股票池的价值下降，导致递延税资产减少，本季度冲掉了约100万美金的递延税资产，计入了所得税费用。未来如果股价回升，会反向冲减当期所得税费用。同时，对于52号罚款相关部分，尽管还在评估中，但目前采取非常谨慎的态度，该罚款作为不可抵扣费用处理，额外增加了约600万美金的所得税费用。这部分目前是非现金影响，预计下半年会结合集团各地区的盈利情况优化税务安排，并争取逐步冲减当期所得税费用。</w:t>
      </w:r>
    </w:p>
    <w:p>
      <w:r>
        <w:rPr>
          <w:rFonts w:ascii="等线(中文正文)" w:hAnsi="等线(中文正文)" w:cs="等线(中文正文)" w:eastAsia="等线(中文正文)"/>
          <w:b w:val="false"/>
          <w:i w:val="false"/>
          <w:sz w:val="20"/>
        </w:rPr>
        <w:t/>
      </w:r>
    </w:p>
    <w:p>
      <w:pPr>
        <w:pStyle w:val="ab"/>
      </w:pPr>
      <w:r>
        <w:t>发言人1 问：客户资产方面，第三季度截止目前的表现如何？交易回路方面，第三季度的数据对比第二季度有何变化？</w:t>
      </w:r>
    </w:p>
    <w:p>
      <w:r>
        <w:rPr>
          <w:rFonts w:ascii="等线(中文正文)" w:hAnsi="等线(中文正文)" w:cs="等线(中文正文)" w:eastAsia="等线(中文正文)"/>
          <w:b w:val="false"/>
          <w:i w:val="false"/>
          <w:sz w:val="20"/>
        </w:rPr>
        <w:t>发言人1 答：客户资产方面，第三季度截止目前，进入金和资产的升值收益均超过10亿美金，客户资产延续了稳健增长的趋势，相比第二季度末实现了高个位数的环比增长。交易回路方面，第三季度截止目前的交易额和交易佣金较第二季度同期略有回落，主要原因是二季度市场行情强劲导致交易活跃度处在高位，形成了较高的基数，进入第三季度后市场有所回调，相应有所回落。新增入境用户方面，香港和新加坡依然是主要贡献市场，预计第三季度新增入境用户数会比第二季度有所上升，这得益于我们在第二季度在当地加强了品牌活动。此外，第三季度新增入境用户的当季度人均进入金相比第二季度有了进一步提升，达到了约2.5万美金，这与我们以用户质量优先的策略一致。</w:t>
      </w:r>
    </w:p>
    <w:p>
      <w:r>
        <w:rPr>
          <w:rFonts w:ascii="等线(中文正文)" w:hAnsi="等线(中文正文)" w:cs="等线(中文正文)" w:eastAsia="等线(中文正文)"/>
          <w:b w:val="false"/>
          <w:i w:val="false"/>
          <w:sz w:val="20"/>
        </w:rPr>
        <w:t/>
      </w:r>
    </w:p>
    <w:p>
      <w:pPr>
        <w:pStyle w:val="ab"/>
      </w:pPr>
      <w:r>
        <w:t>发言人1 问：对于现金股息take rate环比出现较大幅度下降的情况，能否说明背后的原因以及未来如何看待这一趋势？take rate环比保持相对稳定的原因是什么？</w:t>
      </w:r>
    </w:p>
    <w:p>
      <w:r>
        <w:rPr>
          <w:rFonts w:ascii="等线(中文正文)" w:hAnsi="等线(中文正文)" w:cs="等线(中文正文)" w:eastAsia="等线(中文正文)"/>
          <w:b w:val="false"/>
          <w:i w:val="false"/>
          <w:sz w:val="20"/>
        </w:rPr>
        <w:t>发言人1 答：现金股息take rate环比下降的原因主要包括第二季度市场对AI半导体板块关注度提高，导致相关股票交易量占比上升，且股价相对较高，从而降低了整体美股正股的take rate。此外，纳斯达克指数在第二季度大幅上涨超过20%，带动个股平均成交价格上升，按每股收取佣金导致take rate下降。另外，在第二季度，老虎美国新增了一些交易风格偏高频的用户，增加了期货交易量，而期货采用零佣金模式，这也拉低了整体的退汇水平。blender take rate保持相对稳定是因为第二季度正股和期权交易量占比上升，期货交易量占比下降。由于期货是按名义本金计算确定保留的，期货占比越低，blender退费就越高，这正好对冲了政府退税下降的影响。</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2026-08-26T14:15:48Z</dcterms:created>
  <dc:creator>Apache POI</dc:creator>
</cp:coreProperties>
</file>