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明源云集团控股有限公司（0909.HK）2026年中期业绩发布会 260826_导读</w:t>
      </w:r>
    </w:p>
    <w:p>
      <w:pPr>
        <w:pStyle w:val="a0"/>
        <w:jc w:val="center"/>
      </w:pPr>
      <w:r>
        <w:t>2026年08月26日 21:58</w:t>
      </w:r>
    </w:p>
    <w:p>
      <w:pPr>
        <w:pStyle w:val="a7"/>
      </w:pPr>
      <w:r>
        <w:t>关键词</w:t>
      </w:r>
    </w:p>
    <w:p>
      <w:r>
        <w:rPr>
          <w:rFonts w:ascii="等线(中文正文)" w:hAnsi="等线(中文正文)" w:cs="等线(中文正文)" w:eastAsia="等线(中文正文)"/>
          <w:b w:val="false"/>
          <w:i w:val="false"/>
          <w:sz w:val="20"/>
        </w:rPr>
        <w:t xml:space="preserve">现金储备 资产负债结构 收入端 行业调整压力 组织效率 AI产品投入 存量运营时代 数字化 智能化 客户关系管理 AI营销产品 数字营销 数字监管 不动产 资产管理 AI技术 海外市场 日本 项目建设 IOT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公司在2026年上半年的财务回顾显示，财务状况稳健，现金储备充足，为未来发展奠定坚实基础。面对市场调整，公司积极优化经营，调整产品战略以适应行业变化，同时提升费用和组织效率。在技术与转型方面，公司加大在AI技术与数字化转型的投入，积极拓展海外市场。展望未来，公司将调整业务披露口径，更准确反映公司现状与发展方向。公司管理层对未来发展充满信心，期待通过持续努力与创新实现业绩增长。</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2026年上半年公司财务与业务回顾</w:t>
      </w:r>
    </w:p>
    <w:p>
      <w:r>
        <w:rPr>
          <w:rFonts w:ascii="等线(中文正文)" w:hAnsi="等线(中文正文)" w:cs="等线(中文正文)" w:eastAsia="等线(中文正文)"/>
          <w:b w:val="false"/>
          <w:i w:val="false"/>
          <w:sz w:val="20"/>
        </w:rPr>
        <w:t>对话回顾了2026年上半年公司财务状况，显示收入端面临行业调整压力，但经营层面持续改善，费用和组织效率优化，资产负债结构稳健，现金储备充足。业务回顾强调了公司在AI产品投入和海外业务探索方面的坚实保障。</w:t>
      </w:r>
    </w:p>
    <w:p>
      <w:r>
        <w:rPr>
          <w:rFonts w:ascii="等线(中文正文)" w:hAnsi="等线(中文正文)" w:cs="等线(中文正文)" w:eastAsia="等线(中文正文)"/>
          <w:b w:val="false"/>
          <w:i w:val="false"/>
          <w:sz w:val="20"/>
        </w:rPr>
        <w:t/>
      </w:r>
    </w:p>
    <w:p>
      <w:pPr>
        <w:pStyle w:val="ab"/>
        <w:numPr>
          <w:numId w:val="2"/>
        </w:numPr>
      </w:pPr>
      <w:r>
        <w:t>01:01 中国不动产市场转型与政策导向分析</w:t>
      </w:r>
    </w:p>
    <w:p>
      <w:r>
        <w:rPr>
          <w:rFonts w:ascii="等线(中文正文)" w:hAnsi="等线(中文正文)" w:cs="等线(中文正文)" w:eastAsia="等线(中文正文)"/>
          <w:b w:val="false"/>
          <w:i w:val="false"/>
          <w:sz w:val="20"/>
        </w:rPr>
        <w:t>2026年上半年中国新建商品房销售面积和销售额均同比下降，行业延续调整态势。政策重心转向稳定市场，强调因城施策、去库存、优供给。市场从增量开发转向存量运营，企业需关注去库存、现金流、控成本和提效益，数字化和智能化成为提升运营效率的关键。</w:t>
      </w:r>
    </w:p>
    <w:p>
      <w:r>
        <w:rPr>
          <w:rFonts w:ascii="等线(中文正文)" w:hAnsi="等线(中文正文)" w:cs="等线(中文正文)" w:eastAsia="等线(中文正文)"/>
          <w:b w:val="false"/>
          <w:i w:val="false"/>
          <w:sz w:val="20"/>
        </w:rPr>
        <w:t/>
      </w:r>
    </w:p>
    <w:p>
      <w:pPr>
        <w:pStyle w:val="ab"/>
        <w:numPr>
          <w:numId w:val="3"/>
        </w:numPr>
      </w:pPr>
      <w:r>
        <w:t>02:19 公司收入结构受住宅市场影响分析</w:t>
      </w:r>
    </w:p>
    <w:p>
      <w:r>
        <w:rPr>
          <w:rFonts w:ascii="等线(中文正文)" w:hAnsi="等线(中文正文)" w:cs="等线(中文正文)" w:eastAsia="等线(中文正文)"/>
          <w:b w:val="false"/>
          <w:i w:val="false"/>
          <w:sz w:val="20"/>
        </w:rPr>
        <w:t>公司调整客群结构和产品战略取得阶段性成果，但收入仍依赖中国住宅开发商客户。2026年上半年，云服务和本地化部署软件收入分别下降14.1%和7.9%，因住宅市场筑底影响。资产管理和运营产品线收入同比增长5.7%，因其客户为国企不动产运营商，付费能力稳定。</w:t>
      </w:r>
    </w:p>
    <w:p>
      <w:r>
        <w:rPr>
          <w:rFonts w:ascii="等线(中文正文)" w:hAnsi="等线(中文正文)" w:cs="等线(中文正文)" w:eastAsia="等线(中文正文)"/>
          <w:b w:val="false"/>
          <w:i w:val="false"/>
          <w:sz w:val="20"/>
        </w:rPr>
        <w:t/>
      </w:r>
    </w:p>
    <w:p>
      <w:pPr>
        <w:pStyle w:val="ab"/>
        <w:numPr>
          <w:numId w:val="4"/>
        </w:numPr>
      </w:pPr>
      <w:r>
        <w:t>03:23 2026年上半年各产品线业绩及转型分析</w:t>
      </w:r>
    </w:p>
    <w:p>
      <w:r>
        <w:rPr>
          <w:rFonts w:ascii="等线(中文正文)" w:hAnsi="等线(中文正文)" w:cs="等线(中文正文)" w:eastAsia="等线(中文正文)"/>
          <w:b w:val="false"/>
          <w:i w:val="false"/>
          <w:sz w:val="20"/>
        </w:rPr>
        <w:t>2026年上半年，云服务产品线中，客户关系管理产品线收入受市场影响下降18%，但AI产品签约金额增长20%，预计全年签约目标1亿人民币；项目建设产品线收入同比下降14.2%，但优化客户结构后，单工地半年度客单价增长9%；资产管理及运营产品线收入同比增长5.7%，新增非不动产行业客户，持续拓展国企平台公司客群，发布了两大融合AI技术的产品。</w:t>
      </w:r>
    </w:p>
    <w:p>
      <w:r>
        <w:rPr>
          <w:rFonts w:ascii="等线(中文正文)" w:hAnsi="等线(中文正文)" w:cs="等线(中文正文)" w:eastAsia="等线(中文正文)"/>
          <w:b w:val="false"/>
          <w:i w:val="false"/>
          <w:sz w:val="20"/>
        </w:rPr>
        <w:t/>
      </w:r>
    </w:p>
    <w:p>
      <w:pPr>
        <w:pStyle w:val="ab"/>
        <w:numPr>
          <w:numId w:val="5"/>
        </w:numPr>
      </w:pPr>
      <w:r>
        <w:t>08:12 公司海外业务进展与未来规划</w:t>
      </w:r>
    </w:p>
    <w:p>
      <w:r>
        <w:rPr>
          <w:rFonts w:ascii="等线(中文正文)" w:hAnsi="等线(中文正文)" w:cs="等线(中文正文)" w:eastAsia="等线(中文正文)"/>
          <w:b w:val="false"/>
          <w:i w:val="false"/>
          <w:sz w:val="20"/>
        </w:rPr>
        <w:t>公司在26年上半年将海外业务从市场探索转向战略聚焦，明确了市场和产品方向，签约金额约2000万元。重点拓展中国香港、日本、美国、韩国市场，与本地机构合作，推进不动产数字化营销解决方案。产品方面，智能超表产品very reader和不动产营销产品AI viral tour分别在发达国家和东南亚市场取得进展，计划进一步拓展。未来公司将调整业务披露口径。</w:t>
      </w:r>
    </w:p>
    <w:p>
      <w:r>
        <w:rPr>
          <w:rFonts w:ascii="等线(中文正文)" w:hAnsi="等线(中文正文)" w:cs="等线(中文正文)" w:eastAsia="等线(中文正文)"/>
          <w:b w:val="false"/>
          <w:i w:val="false"/>
          <w:sz w:val="20"/>
        </w:rPr>
        <w:t/>
      </w:r>
    </w:p>
    <w:p>
      <w:pPr>
        <w:pStyle w:val="ab"/>
        <w:numPr>
          <w:numId w:val="6"/>
        </w:numPr>
      </w:pPr>
      <w:r>
        <w:t>09:50 公司业务披露口径优化与未来展望</w:t>
      </w:r>
    </w:p>
    <w:p>
      <w:r>
        <w:rPr>
          <w:rFonts w:ascii="等线(中文正文)" w:hAnsi="等线(中文正文)" w:cs="等线(中文正文)" w:eastAsia="等线(中文正文)"/>
          <w:b w:val="false"/>
          <w:i w:val="false"/>
          <w:sz w:val="20"/>
        </w:rPr>
        <w:t>公司为更准确反映业务情况，将调整披露口径，将云服务中的客户关系管理产品线独立为‘数字营销’，其余归为‘数字监管’。数字营销聚焦营销数字化转型，服务于多行业；数字监管助力不动产项目智能化管理。未来将披露更多元收入及客户数据，提升投资者理解。中远期业务展望由高宇和姚武介绍。</w:t>
      </w:r>
    </w:p>
    <w:p>
      <w:r>
        <w:rPr>
          <w:rFonts w:ascii="等线(中文正文)" w:hAnsi="等线(中文正文)" w:cs="等线(中文正文)" w:eastAsia="等线(中文正文)"/>
          <w:b w:val="false"/>
          <w:i w:val="false"/>
          <w:sz w:val="20"/>
        </w:rPr>
        <w:t/>
      </w:r>
    </w:p>
    <w:p>
      <w:pPr>
        <w:pStyle w:val="ab"/>
        <w:numPr>
          <w:numId w:val="7"/>
        </w:numPr>
      </w:pPr>
      <w:r>
        <w:t>14:46 2026下半年不动产市场趋势与AI转型展望</w:t>
      </w:r>
    </w:p>
    <w:p>
      <w:r>
        <w:rPr>
          <w:rFonts w:ascii="等线(中文正文)" w:hAnsi="等线(中文正文)" w:cs="等线(中文正文)" w:eastAsia="等线(中文正文)"/>
          <w:b w:val="false"/>
          <w:i w:val="false"/>
          <w:sz w:val="20"/>
        </w:rPr>
        <w:t>2026年下半年，国内不动产市场持续调整，存量运营成为趋势，客户对精益化管理需求上升，AI成本数据库等创新产品受关注。全球不动产科技市场超400亿美金，发达国家聚焦存量资产管理和ESG政策，AI技术进入agent时代，推动企业级应用和智能体结合，加速不动产行业AI转型。</w:t>
      </w:r>
    </w:p>
    <w:p>
      <w:r>
        <w:rPr>
          <w:rFonts w:ascii="等线(中文正文)" w:hAnsi="等线(中文正文)" w:cs="等线(中文正文)" w:eastAsia="等线(中文正文)"/>
          <w:b w:val="false"/>
          <w:i w:val="false"/>
          <w:sz w:val="20"/>
        </w:rPr>
        <w:t/>
      </w:r>
    </w:p>
    <w:p>
      <w:pPr>
        <w:pStyle w:val="ab"/>
        <w:numPr>
          <w:numId w:val="8"/>
        </w:numPr>
      </w:pPr>
      <w:r>
        <w:t>19:44 2023年下半年经营策略：聚焦国内市场与拓展发达国家市场</w:t>
      </w:r>
    </w:p>
    <w:p>
      <w:r>
        <w:rPr>
          <w:rFonts w:ascii="等线(中文正文)" w:hAnsi="等线(中文正文)" w:cs="等线(中文正文)" w:eastAsia="等线(中文正文)"/>
          <w:b w:val="false"/>
          <w:i w:val="false"/>
          <w:sz w:val="20"/>
        </w:rPr>
        <w:t>公司下半年经营策略聚焦于国内市场核心产品线的优化与非不动产客群拓展，同时海外市场战略调整为以发达国家为核心，通过AI+IOT+SaaS产品模式实现差异化竞争优势，预计海外业务签约额达5000万人民币，未来两年有望实现高速业绩增长。</w:t>
      </w:r>
    </w:p>
    <w:p>
      <w:r>
        <w:rPr>
          <w:rFonts w:ascii="等线(中文正文)" w:hAnsi="等线(中文正文)" w:cs="等线(中文正文)" w:eastAsia="等线(中文正文)"/>
          <w:b w:val="false"/>
          <w:i w:val="false"/>
          <w:sz w:val="20"/>
        </w:rPr>
        <w:t/>
      </w:r>
    </w:p>
    <w:p>
      <w:pPr>
        <w:pStyle w:val="ab"/>
        <w:numPr>
          <w:numId w:val="9"/>
        </w:numPr>
      </w:pPr>
      <w:r>
        <w:t>32:21 AI赋能下的数字营销与监管：原生与增强模式的实践</w:t>
      </w:r>
    </w:p>
    <w:p>
      <w:r>
        <w:rPr>
          <w:rFonts w:ascii="等线(中文正文)" w:hAnsi="等线(中文正文)" w:cs="等线(中文正文)" w:eastAsia="等线(中文正文)"/>
          <w:b w:val="false"/>
          <w:i w:val="false"/>
          <w:sz w:val="20"/>
        </w:rPr>
        <w:t>对话强调了AI在数字营销和数字监管领域的应用，通过原生和增强模式实现业务价值提升。在实践中，增强模式适用于决策类管理，而原生模式则在非结构化数据处理上表现更佳。AI的应用不仅优化了业务流程，还提高了客户认可度和销售收入，证实了AI在商业领域的巨大潜力。</w:t>
      </w:r>
    </w:p>
    <w:p>
      <w:r>
        <w:rPr>
          <w:rFonts w:ascii="等线(中文正文)" w:hAnsi="等线(中文正文)" w:cs="等线(中文正文)" w:eastAsia="等线(中文正文)"/>
          <w:b w:val="false"/>
          <w:i w:val="false"/>
          <w:sz w:val="20"/>
        </w:rPr>
        <w:t/>
      </w:r>
    </w:p>
    <w:p>
      <w:pPr>
        <w:pStyle w:val="ab"/>
        <w:numPr>
          <w:numId w:val="10"/>
        </w:numPr>
      </w:pPr>
      <w:r>
        <w:t>37:39 数字营销板块三合一模式增长策略</w:t>
      </w:r>
    </w:p>
    <w:p>
      <w:r>
        <w:rPr>
          <w:rFonts w:ascii="等线(中文正文)" w:hAnsi="等线(中文正文)" w:cs="等线(中文正文)" w:eastAsia="等线(中文正文)"/>
          <w:b w:val="false"/>
          <w:i w:val="false"/>
          <w:sz w:val="20"/>
        </w:rPr>
        <w:t>对话阐述了数字营销板块未来半年的增长策略，重点介绍了三合一模式（AI应用+营销服务+投流）的优势及其在市场中的应用。通过整合AI应用、营销服务和投流，该模式不仅提高了业务效率和利润，还增强了与平台的合作，实现了多赢局面。此外，通过分析客户投流费用，精准识别和选择商机，进一步提升了商机转换率和效率。</w:t>
      </w:r>
    </w:p>
    <w:p>
      <w:r>
        <w:rPr>
          <w:rFonts w:ascii="等线(中文正文)" w:hAnsi="等线(中文正文)" w:cs="等线(中文正文)" w:eastAsia="等线(中文正文)"/>
          <w:b w:val="false"/>
          <w:i w:val="false"/>
          <w:sz w:val="20"/>
        </w:rPr>
        <w:t/>
      </w:r>
    </w:p>
    <w:p>
      <w:pPr>
        <w:pStyle w:val="ab"/>
        <w:numPr>
          <w:numId w:val="11"/>
        </w:numPr>
      </w:pPr>
      <w:r>
        <w:t>43:44 跨平台合作与AI技术推动数字营销增长</w:t>
      </w:r>
    </w:p>
    <w:p>
      <w:r>
        <w:rPr>
          <w:rFonts w:ascii="等线(中文正文)" w:hAnsi="等线(中文正文)" w:cs="等线(中文正文)" w:eastAsia="等线(中文正文)"/>
          <w:b w:val="false"/>
          <w:i w:val="false"/>
          <w:sz w:val="20"/>
        </w:rPr>
        <w:t>对话讨论了通过跨平台合作与深化AI技术应用实现数字营销增长的策略。公司已全面拥抱腾讯系和小红书系，提供覆盖所有平台的综合方案，降低系统性风险，提升客户投资回报。AI产品已扩展至多行业，尤其在汽车行业取得突破，与奇瑞等主机厂合作，探索车后市场及机车等新领域，预计未来将沿着线上线下融合的模式持续增长。</w:t>
      </w:r>
    </w:p>
    <w:p>
      <w:r>
        <w:rPr>
          <w:rFonts w:ascii="等线(中文正文)" w:hAnsi="等线(中文正文)" w:cs="等线(中文正文)" w:eastAsia="等线(中文正文)"/>
          <w:b w:val="false"/>
          <w:i w:val="false"/>
          <w:sz w:val="20"/>
        </w:rPr>
        <w:t/>
      </w:r>
    </w:p>
    <w:p>
      <w:pPr>
        <w:pStyle w:val="ab"/>
        <w:numPr>
          <w:numId w:val="12"/>
        </w:numPr>
      </w:pPr>
      <w:r>
        <w:t>47:36 数字监管与AI在行业应用的深度探索</w:t>
      </w:r>
    </w:p>
    <w:p>
      <w:r>
        <w:rPr>
          <w:rFonts w:ascii="等线(中文正文)" w:hAnsi="等线(中文正文)" w:cs="等线(中文正文)" w:eastAsia="等线(中文正文)"/>
          <w:b w:val="false"/>
          <w:i w:val="false"/>
          <w:sz w:val="20"/>
        </w:rPr>
        <w:t>对话深入探讨了数字监管在特定行业赛道的应用，强调了行业专属数据和本体论的重要性，以及如何通过AI技术实现原生应用，提升业务效率。分享了在工程协同、成本数据库、智能资产管理等方面的成功案例，展示了数字监管从增强型向原生AI应用的转变，以及对未来行业发展的信心与布局。</w:t>
      </w:r>
    </w:p>
    <w:p>
      <w:r>
        <w:rPr>
          <w:rFonts w:ascii="等线(中文正文)" w:hAnsi="等线(中文正文)" w:cs="等线(中文正文)" w:eastAsia="等线(中文正文)"/>
          <w:b w:val="false"/>
          <w:i w:val="false"/>
          <w:sz w:val="20"/>
        </w:rPr>
        <w:t/>
      </w:r>
    </w:p>
    <w:p>
      <w:pPr>
        <w:pStyle w:val="ab"/>
        <w:numPr>
          <w:numId w:val="13"/>
        </w:numPr>
      </w:pPr>
      <w:r>
        <w:t>54:13 公司业绩会：管理层更新经营目标与全年业绩指引</w:t>
      </w:r>
    </w:p>
    <w:p>
      <w:r>
        <w:rPr>
          <w:rFonts w:ascii="等线(中文正文)" w:hAnsi="等线(中文正文)" w:cs="等线(中文正文)" w:eastAsia="等线(中文正文)"/>
          <w:b w:val="false"/>
          <w:i w:val="false"/>
          <w:sz w:val="20"/>
        </w:rPr>
        <w:t>在业绩会上，管理层针对房地产市场下滑、海外拓展及AI创新投入等背景，调整了全年业绩目标，预计营收同比下滑约10%，成本费用降幅超10%，利润和经营性现金流虽为正但较去年有较大幅度下降。</w:t>
      </w:r>
    </w:p>
    <w:p>
      <w:r>
        <w:rPr>
          <w:rFonts w:ascii="等线(中文正文)" w:hAnsi="等线(中文正文)" w:cs="等线(中文正文)" w:eastAsia="等线(中文正文)"/>
          <w:b w:val="false"/>
          <w:i w:val="false"/>
          <w:sz w:val="20"/>
        </w:rPr>
        <w:t/>
      </w:r>
    </w:p>
    <w:p>
      <w:pPr>
        <w:pStyle w:val="ab"/>
        <w:numPr>
          <w:numId w:val="14"/>
        </w:numPr>
      </w:pPr>
      <w:r>
        <w:t>57:00 AI策略与FDE业务拓展：公司优势与行业选择</w:t>
      </w:r>
    </w:p>
    <w:p>
      <w:r>
        <w:rPr>
          <w:rFonts w:ascii="等线(中文正文)" w:hAnsi="等线(中文正文)" w:cs="等线(中文正文)" w:eastAsia="等线(中文正文)"/>
          <w:b w:val="false"/>
          <w:i w:val="false"/>
          <w:sz w:val="20"/>
        </w:rPr>
        <w:t>对话围绕公司AI策略和FDE业务展开，重点讨论了AI三合一营销解决方案在非不动产行业的应用优势，以及公司在选择行业时的考量。公司通过地产行业成功案例，构建了多行业产品架构，选择以线索型行业为主，如汽车、酒旅等。此外，公司正积极探索FDE业务，认为机会大于风险，但需注意与欧美市场的差异，逐步深化业务流程改造，同时发展生态合作伙伴，共同推进跨行业拓展。</w:t>
      </w:r>
    </w:p>
    <w:p>
      <w:r>
        <w:rPr>
          <w:rFonts w:ascii="等线(中文正文)" w:hAnsi="等线(中文正文)" w:cs="等线(中文正文)" w:eastAsia="等线(中文正文)"/>
          <w:b w:val="false"/>
          <w:i w:val="false"/>
          <w:sz w:val="20"/>
        </w:rPr>
        <w:t/>
      </w:r>
    </w:p>
    <w:p>
      <w:pPr>
        <w:pStyle w:val="ab"/>
        <w:numPr>
          <w:numId w:val="15"/>
        </w:numPr>
      </w:pPr>
      <w:r>
        <w:t>01:06:02 FDE模式助力AI在垂类行业的应用与增长</w:t>
      </w:r>
    </w:p>
    <w:p>
      <w:r>
        <w:rPr>
          <w:rFonts w:ascii="等线(中文正文)" w:hAnsi="等线(中文正文)" w:cs="等线(中文正文)" w:eastAsia="等线(中文正文)"/>
          <w:b w:val="false"/>
          <w:i w:val="false"/>
          <w:sz w:val="20"/>
        </w:rPr>
        <w:t>讨论了AI在特定行业小场景的应用，如数字营销和案场分析，强调了行业数据和专家顾问的重要性。FDE模式通过结合业务专家与AI顾问，解决了客户的个性化问题，并通过专项服务创造了增量收入。成功案例展示了从单个项目到公司级解决方案的复制效率，以及未来通过建立auto logy本体论回收机制，以实现更多A准的增长潜力。</w:t>
      </w:r>
    </w:p>
    <w:p>
      <w:r>
        <w:rPr>
          <w:rFonts w:ascii="等线(中文正文)" w:hAnsi="等线(中文正文)" w:cs="等线(中文正文)" w:eastAsia="等线(中文正文)"/>
          <w:b w:val="false"/>
          <w:i w:val="false"/>
          <w:sz w:val="20"/>
        </w:rPr>
        <w:t/>
      </w:r>
    </w:p>
    <w:p>
      <w:pPr>
        <w:pStyle w:val="ab"/>
        <w:numPr>
          <w:numId w:val="16"/>
        </w:numPr>
      </w:pPr>
      <w:r>
        <w:t>01:10:33 2+X产品战略：海外布局与创新孵化</w:t>
      </w:r>
    </w:p>
    <w:p>
      <w:r>
        <w:rPr>
          <w:rFonts w:ascii="等线(中文正文)" w:hAnsi="等线(中文正文)" w:cs="等线(中文正文)" w:eastAsia="等线(中文正文)"/>
          <w:b w:val="false"/>
          <w:i w:val="false"/>
          <w:sz w:val="20"/>
        </w:rPr>
        <w:t>对话围绕2+X产品战略展开，阐述了通过并购获得的‘2’类产品如何精准对接发达国家市场痛点，如智能化抄表、能耗管理与ESG政策适应，展现规模化推广潜力。同时，提及正在香港探索的‘X’孵化产品线，聚焦于大湾区供应链优势下的能耗管理、设施运维与资产管理领域，旨在开拓发达国家不动产存量市场，凸显全球化发展策略与创新孵化重点。</w:t>
      </w:r>
    </w:p>
    <w:p>
      <w:r>
        <w:rPr>
          <w:rFonts w:ascii="等线(中文正文)" w:hAnsi="等线(中文正文)" w:cs="等线(中文正文)" w:eastAsia="等线(中文正文)"/>
          <w:b w:val="false"/>
          <w:i w:val="false"/>
          <w:sz w:val="20"/>
        </w:rPr>
        <w:t/>
      </w:r>
    </w:p>
    <w:p>
      <w:pPr>
        <w:pStyle w:val="ab"/>
        <w:numPr>
          <w:numId w:val="17"/>
        </w:numPr>
      </w:pPr>
      <w:r>
        <w:t>01:14:46 公司现金管理与未来发展战略</w:t>
      </w:r>
    </w:p>
    <w:p>
      <w:r>
        <w:rPr>
          <w:rFonts w:ascii="等线(中文正文)" w:hAnsi="等线(中文正文)" w:cs="等线(中文正文)" w:eastAsia="等线(中文正文)"/>
          <w:b w:val="false"/>
          <w:i w:val="false"/>
          <w:sz w:val="20"/>
        </w:rPr>
        <w:t>对话围绕公司现金储备及未来规划展开，强调通过投资并购加速海外市场拓展和AI创新，同时提及股价低于净资产值时将考虑回购以回报投资者。公司对国内业务恢复及海外、跨行业与AI领域的发展充满信心，预计未来几年将取得实质性突破。</w:t>
      </w:r>
    </w:p>
    <w:p>
      <w:r>
        <w:rPr>
          <w:rFonts w:ascii="等线(中文正文)" w:hAnsi="等线(中文正文)" w:cs="等线(中文正文)" w:eastAsia="等线(中文正文)"/>
          <w:b w:val="false"/>
          <w:i w:val="false"/>
          <w:sz w:val="20"/>
        </w:rPr>
        <w:t/>
      </w:r>
    </w:p>
    <w:p>
      <w:pPr>
        <w:pStyle w:val="a7"/>
      </w:pPr>
      <w:r>
        <w:t>发言总结</w:t>
      </w:r>
    </w:p>
    <w:p>
      <w:pPr>
        <w:pStyle w:val="ab"/>
        <w:numPr>
          <w:numId w:val="18"/>
        </w:numPr>
      </w:pPr>
      <w:r>
        <w:t>发言人1</w:t>
      </w:r>
    </w:p>
    <w:p>
      <w:r>
        <w:rPr>
          <w:rFonts w:ascii="等线(中文正文)" w:hAnsi="等线(中文正文)" w:cs="等线(中文正文)" w:eastAsia="等线(中文正文)"/>
          <w:b w:val="false"/>
          <w:i w:val="false"/>
          <w:sz w:val="20"/>
        </w:rPr>
        <w:t>首先回顾了2026年上半年公司的财务和业务表现，强调了公司充足的现金储备，这为公司应对行业周期变化、加大AI产品投入及探索海外市场提供了有力支持。面对住宅市场的调整压力，公司通过优化经营、提升费用和组织效率，确保了资产负债结构的稳健，成功恢复了基本盈利能力，并在海外拓展、AI创新及跨行业发展方面取得初步成果。他表示，公司对未来的持续增长充满信心，并分享了公司在市场拓展、产品研发、客户服务等方面的策略与成果。此外，他还阐述了公司通过投资并购加速海外市场拓展、利用资本力量稳定股价和回报投资者的计划，展现了对未来的乐观态度，并对各方的支持表示感谢，期待公司未来的进一步发展。</w:t>
      </w:r>
    </w:p>
    <w:p>
      <w:r>
        <w:rPr>
          <w:rFonts w:ascii="等线(中文正文)" w:hAnsi="等线(中文正文)" w:cs="等线(中文正文)" w:eastAsia="等线(中文正文)"/>
          <w:b w:val="false"/>
          <w:i w:val="false"/>
          <w:sz w:val="20"/>
        </w:rPr>
        <w:t/>
      </w:r>
    </w:p>
    <w:p>
      <w:pPr>
        <w:pStyle w:val="a7"/>
      </w:pPr>
      <w:r>
        <w:t>要点回顾</w:t>
      </w:r>
    </w:p>
    <w:p>
      <w:pPr>
        <w:pStyle w:val="ab"/>
      </w:pPr>
      <w:r>
        <w:t>公司2026年上半年的财务状况如何？</w:t>
      </w:r>
    </w:p>
    <w:p>
      <w:r>
        <w:rPr>
          <w:rFonts w:ascii="等线(中文正文)" w:hAnsi="等线(中文正文)" w:cs="等线(中文正文)" w:eastAsia="等线(中文正文)"/>
          <w:b w:val="false"/>
          <w:i w:val="false"/>
          <w:sz w:val="20"/>
        </w:rPr>
        <w:t>发言人1：2026年上半年，公司的财务状况总体稳健，现金储备充足，能够应对行业周期波动和推进AI产品投入以及海外业务探索。具体来说，金等价物占比48.8%，约人民币15.2亿元；定期存款占比47.4%，约人民币14.8亿元；流动金融资产占比3.8%，约人民币1.2亿元。</w:t>
      </w:r>
    </w:p>
    <w:p>
      <w:r>
        <w:rPr>
          <w:rFonts w:ascii="等线(中文正文)" w:hAnsi="等线(中文正文)" w:cs="等线(中文正文)" w:eastAsia="等线(中文正文)"/>
          <w:b w:val="false"/>
          <w:i w:val="false"/>
          <w:sz w:val="20"/>
        </w:rPr>
        <w:t/>
      </w:r>
    </w:p>
    <w:p>
      <w:pPr>
        <w:pStyle w:val="ab"/>
      </w:pPr>
      <w:r>
        <w:t>房地产市场现状及公司业务面临的挑战是什么？</w:t>
      </w:r>
    </w:p>
    <w:p>
      <w:r>
        <w:rPr>
          <w:rFonts w:ascii="等线(中文正文)" w:hAnsi="等线(中文正文)" w:cs="等线(中文正文)" w:eastAsia="等线(中文正文)"/>
          <w:b w:val="false"/>
          <w:i w:val="false"/>
          <w:sz w:val="20"/>
        </w:rPr>
        <w:t>发言人1：2026年上半年，中国新建商品房销售面积和销售额同比分别下降11.6%和13%，行业仍处于下行阶段。政策层面，政府工作报告将房地产政策重心调整为稳定市场，并提出新的发展目标。公司面临行业调整压力，收入端有所下滑，但通过优化费用和组织效率，资产负债结构保持相对稳健。</w:t>
      </w:r>
    </w:p>
    <w:p>
      <w:r>
        <w:rPr>
          <w:rFonts w:ascii="等线(中文正文)" w:hAnsi="等线(中文正文)" w:cs="等线(中文正文)" w:eastAsia="等线(中文正文)"/>
          <w:b w:val="false"/>
          <w:i w:val="false"/>
          <w:sz w:val="20"/>
        </w:rPr>
        <w:t/>
      </w:r>
    </w:p>
    <w:p>
      <w:pPr>
        <w:pStyle w:val="ab"/>
      </w:pPr>
      <w:r>
        <w:t>公司2026年上半年的整体收入结构情况如何？</w:t>
      </w:r>
    </w:p>
    <w:p>
      <w:r>
        <w:rPr>
          <w:rFonts w:ascii="等线(中文正文)" w:hAnsi="等线(中文正文)" w:cs="等线(中文正文)" w:eastAsia="等线(中文正文)"/>
          <w:b w:val="false"/>
          <w:i w:val="false"/>
          <w:sz w:val="20"/>
        </w:rPr>
        <w:t>发言人1：公司整体收入结构中，云服务收入4.50亿元，同比下降14.1%，本地化部署软件及服务收入7469万元，同比下降7.9%。其中，资产管理和运营产品线因客户群体付费能力相对稳定，收入同比增长5.7%。</w:t>
      </w:r>
    </w:p>
    <w:p>
      <w:r>
        <w:rPr>
          <w:rFonts w:ascii="等线(中文正文)" w:hAnsi="等线(中文正文)" w:cs="等线(中文正文)" w:eastAsia="等线(中文正文)"/>
          <w:b w:val="false"/>
          <w:i w:val="false"/>
          <w:sz w:val="20"/>
        </w:rPr>
        <w:t/>
      </w:r>
    </w:p>
    <w:p>
      <w:pPr>
        <w:pStyle w:val="ab"/>
      </w:pPr>
      <w:r>
        <w:t>各产品线的具体表现和云服务中客户关系管理产品的详细情况如何？项目建设产品线和资产管理及运营产品线的收入及客户情况如何？</w:t>
      </w:r>
    </w:p>
    <w:p>
      <w:r>
        <w:rPr>
          <w:rFonts w:ascii="等线(中文正文)" w:hAnsi="等线(中文正文)" w:cs="等线(中文正文)" w:eastAsia="等线(中文正文)"/>
          <w:b w:val="false"/>
          <w:i w:val="false"/>
          <w:sz w:val="20"/>
        </w:rPr>
        <w:t>发言人1：云服务中的客户关系管理产品线，其云客产品的收入占该产品线的90%以上，2026年上半年收入为3.08亿元，同比下降18%。合作案场数量为8052个，同比下降19.5%，但云客单案场半年度客单价同比增长1.6%，显示出业务转型的初步成效。项目建设产品线2026年上半年收入3993万元，同比下降14.2%，主要由于住宅及基建市场新增项目开发减少导致数字化预算收缩。而资产管理及运营产品线收入为4994万元，同比增长5.7%，新发布了园区招用户一体化平台和资产服务中心产品，拓展了国企平台公司及产业园区、文旅运营等领域客户。</w:t>
      </w:r>
    </w:p>
    <w:p>
      <w:r>
        <w:rPr>
          <w:rFonts w:ascii="等线(中文正文)" w:hAnsi="等线(中文正文)" w:cs="等线(中文正文)" w:eastAsia="等线(中文正文)"/>
          <w:b w:val="false"/>
          <w:i w:val="false"/>
          <w:sz w:val="20"/>
        </w:rPr>
        <w:t/>
      </w:r>
    </w:p>
    <w:p>
      <w:pPr>
        <w:pStyle w:val="ab"/>
      </w:pPr>
      <w:r>
        <w:t>公司的海外业务发展情况怎样？</w:t>
      </w:r>
    </w:p>
    <w:p>
      <w:r>
        <w:rPr>
          <w:rFonts w:ascii="等线(中文正文)" w:hAnsi="等线(中文正文)" w:cs="等线(中文正文)" w:eastAsia="等线(中文正文)"/>
          <w:b w:val="false"/>
          <w:i w:val="false"/>
          <w:sz w:val="20"/>
        </w:rPr>
        <w:t>发言人1：海外业务在2026年上半年由市场探索进入战略聚焦阶段，明确了市场和产品方向，并逐步调整组织和运营体系。已在多个发达国家开展业务，与多个机构达成战略合作，推广不动产数字化营销解决方案。同时，对收购的企业Soto旗下的智能超表产品进行了更名，并计划拓展海外市场。</w:t>
      </w:r>
    </w:p>
    <w:p>
      <w:r>
        <w:rPr>
          <w:rFonts w:ascii="等线(中文正文)" w:hAnsi="等线(中文正文)" w:cs="等线(中文正文)" w:eastAsia="等线(中文正文)"/>
          <w:b w:val="false"/>
          <w:i w:val="false"/>
          <w:sz w:val="20"/>
        </w:rPr>
        <w:t/>
      </w:r>
    </w:p>
    <w:p>
      <w:pPr>
        <w:pStyle w:val="ab"/>
      </w:pPr>
      <w:r>
        <w:t>公司未来将如何调整业务披露口径？</w:t>
      </w:r>
    </w:p>
    <w:p>
      <w:r>
        <w:rPr>
          <w:rFonts w:ascii="等线(中文正文)" w:hAnsi="等线(中文正文)" w:cs="等线(中文正文)" w:eastAsia="等线(中文正文)"/>
          <w:b w:val="false"/>
          <w:i w:val="false"/>
          <w:sz w:val="20"/>
        </w:rPr>
        <w:t>发言人1：公司决定对现有业务披露口径进行优化，将云服务中的客户关系管理产品线单独划分为数字营销业务单元，以反映其为具备营销周期长和线下体验场景的企业提供数字化和智能化转型服务的特点。而数字监管业务单元则提供针对不动产项目建设及资管业务的数字化和智能化转型服务。新的披露口径将在2026年年报中正式实施。</w:t>
      </w:r>
    </w:p>
    <w:p>
      <w:r>
        <w:rPr>
          <w:rFonts w:ascii="等线(中文正文)" w:hAnsi="等线(中文正文)" w:cs="等线(中文正文)" w:eastAsia="等线(中文正文)"/>
          <w:b w:val="false"/>
          <w:i w:val="false"/>
          <w:sz w:val="20"/>
        </w:rPr>
        <w:t/>
      </w:r>
    </w:p>
    <w:p>
      <w:pPr>
        <w:pStyle w:val="ab"/>
      </w:pPr>
      <w:r>
        <w:t>公司如何衡量其订阅式盈利模式的成效？</w:t>
      </w:r>
    </w:p>
    <w:p>
      <w:r>
        <w:rPr>
          <w:rFonts w:ascii="等线(中文正文)" w:hAnsi="等线(中文正文)" w:cs="等线(中文正文)" w:eastAsia="等线(中文正文)"/>
          <w:b w:val="false"/>
          <w:i w:val="false"/>
          <w:sz w:val="20"/>
        </w:rPr>
        <w:t>发言人1：我们将继续使用订阅式收入和毛利润作为主要指标来体现订阅式盈利模式的比重，并将进一步披露业务单元的客户和项目相关信息，以帮助投资人更清晰地了解公司商业模式的变化及不同类型客户群体的拓展情况。</w:t>
      </w:r>
    </w:p>
    <w:p>
      <w:r>
        <w:rPr>
          <w:rFonts w:ascii="等线(中文正文)" w:hAnsi="等线(中文正文)" w:cs="等线(中文正文)" w:eastAsia="等线(中文正文)"/>
          <w:b w:val="false"/>
          <w:i w:val="false"/>
          <w:sz w:val="20"/>
        </w:rPr>
        <w:t/>
      </w:r>
    </w:p>
    <w:p>
      <w:pPr>
        <w:pStyle w:val="ab"/>
      </w:pPr>
      <w:r>
        <w:t>公司下半年在国内不动产市场的业务规划和展望是怎样的？公司在国内市场的经营策略是什么？</w:t>
      </w:r>
    </w:p>
    <w:p>
      <w:r>
        <w:rPr>
          <w:rFonts w:ascii="等线(中文正文)" w:hAnsi="等线(中文正文)" w:cs="等线(中文正文)" w:eastAsia="等线(中文正文)"/>
          <w:b w:val="false"/>
          <w:i w:val="false"/>
          <w:sz w:val="20"/>
        </w:rPr>
        <w:t>发言人1：下半年国内不动产市场预计将持续探底，但城中村改造和存量房盘活等稳定市场的政策正在加快落地。公司存量市场的收入实现了一定幅度增长，预计这一趋势将更加明显。同时，客户对精益化管理的需求显著上升，特别是在库存、现金流和成本利润方面。为此，公司将推广AI成本数据库等创新产品，以满足客户需求并帮助企业实现精细化管理。公司在国内市场的经营策略保持不变，重点聚焦国内市场，进一步战略聚焦以实现盈利持续增长。目前的核心产品线为三大方向：客户关系管理、项目建设和资产管理。公司将挖掘这些产品线中的高价值场景，推进AI技术的应用，并积极向不动产以外的客群拓展，如汽车、家装等行业。同时，公司将持续探索非不动产开发商客群，通过规模化收入、降本提效实现可持续盈利。</w:t>
      </w:r>
    </w:p>
    <w:p>
      <w:r>
        <w:rPr>
          <w:rFonts w:ascii="等线(中文正文)" w:hAnsi="等线(中文正文)" w:cs="等线(中文正文)" w:eastAsia="等线(中文正文)"/>
          <w:b w:val="false"/>
          <w:i w:val="false"/>
          <w:sz w:val="20"/>
        </w:rPr>
        <w:t/>
      </w:r>
    </w:p>
    <w:p>
      <w:pPr>
        <w:pStyle w:val="ab"/>
      </w:pPr>
      <w:r>
        <w:t>全球不动产科技市场的发展趋势和特点是什么？</w:t>
      </w:r>
    </w:p>
    <w:p>
      <w:r>
        <w:rPr>
          <w:rFonts w:ascii="等线(中文正文)" w:hAnsi="等线(中文正文)" w:cs="等线(中文正文)" w:eastAsia="等线(中文正文)"/>
          <w:b w:val="false"/>
          <w:i w:val="false"/>
          <w:sz w:val="20"/>
        </w:rPr>
        <w:t>发言人1：全球不动产科技市场规模超过400亿美金，其中北美是最大单一区域市场，发达国家市场合计占比约80%。这些市场正从增量开发转向存量运营，不动产资产管理企业关注数字化手段如AI工具来加强资产管理，降低人力成本、能耗，并满足ESG合规需求。</w:t>
      </w:r>
    </w:p>
    <w:p>
      <w:r>
        <w:rPr>
          <w:rFonts w:ascii="等线(中文正文)" w:hAnsi="等线(中文正文)" w:cs="等线(中文正文)" w:eastAsia="等线(中文正文)"/>
          <w:b w:val="false"/>
          <w:i w:val="false"/>
          <w:sz w:val="20"/>
        </w:rPr>
        <w:t/>
      </w:r>
    </w:p>
    <w:p>
      <w:pPr>
        <w:pStyle w:val="ab"/>
      </w:pPr>
      <w:r>
        <w:t>公司下半年在AI领域的策略和与AI合作伙伴的关系如何？</w:t>
      </w:r>
    </w:p>
    <w:p>
      <w:r>
        <w:rPr>
          <w:rFonts w:ascii="等线(中文正文)" w:hAnsi="等线(中文正文)" w:cs="等线(中文正文)" w:eastAsia="等线(中文正文)"/>
          <w:b w:val="false"/>
          <w:i w:val="false"/>
          <w:sz w:val="20"/>
        </w:rPr>
        <w:t>发言人1：公司已进入AI agent时代，AI技术应用门槛降低，公司与workbody等建立了战略合作关系，希望通过与AI领域大模型公司合作，结合过去近30年的不动产行业经验，帮助客户实现业务的AI转型。公司将采用AI原生应用与AI增强双模双轮驱动模式，加速AI产品在项目建设、营销、资产管理等环节的落地。</w:t>
      </w:r>
    </w:p>
    <w:p>
      <w:r>
        <w:rPr>
          <w:rFonts w:ascii="等线(中文正文)" w:hAnsi="等线(中文正文)" w:cs="等线(中文正文)" w:eastAsia="等线(中文正文)"/>
          <w:b w:val="false"/>
          <w:i w:val="false"/>
          <w:sz w:val="20"/>
        </w:rPr>
        <w:t/>
      </w:r>
    </w:p>
    <w:p>
      <w:pPr>
        <w:pStyle w:val="ab"/>
      </w:pPr>
      <w:r>
        <w:t>公司海外市场的产品策略和市场选择有何调整？</w:t>
      </w:r>
    </w:p>
    <w:p>
      <w:r>
        <w:rPr>
          <w:rFonts w:ascii="等线(中文正文)" w:hAnsi="等线(中文正文)" w:cs="等线(中文正文)" w:eastAsia="等线(中文正文)"/>
          <w:b w:val="false"/>
          <w:i w:val="false"/>
          <w:sz w:val="20"/>
        </w:rPr>
        <w:t>发言人1：公司海外市场的产品策略仍坚持AI+IoT+SaaS组合模式，依托深圳在大湾区供应链智能硬件方面的优势打造IoT核心能力，形成差异化竞争优势。公司在发达国家市场取得了明显成效，下半年将在已进入的发达国家市场进一步积极投入，力争年底前实现在新进入市场的突破。同时，公司将调整市场重心，由发展中国家转向发达国家和地区，借助在日本并购的SL to公司的成熟产品和商业模式拓展到韩国、美国、英国、新加坡、中国香港等地区，预计2026年全年海外业务签约额将达到5000万人民币。</w:t>
      </w:r>
    </w:p>
    <w:p>
      <w:r>
        <w:rPr>
          <w:rFonts w:ascii="等线(中文正文)" w:hAnsi="等线(中文正文)" w:cs="等线(中文正文)" w:eastAsia="等线(中文正文)"/>
          <w:b w:val="false"/>
          <w:i w:val="false"/>
          <w:sz w:val="20"/>
        </w:rPr>
        <w:t/>
      </w:r>
    </w:p>
    <w:p>
      <w:pPr>
        <w:pStyle w:val="ab"/>
      </w:pPr>
      <w:r>
        <w:t>大模型推理能力增强对行业应用和公司商业化的影响是什么？</w:t>
      </w:r>
    </w:p>
    <w:p>
      <w:r>
        <w:rPr>
          <w:rFonts w:ascii="等线(中文正文)" w:hAnsi="等线(中文正文)" w:cs="等线(中文正文)" w:eastAsia="等线(中文正文)"/>
          <w:b w:val="false"/>
          <w:i w:val="false"/>
          <w:sz w:val="20"/>
        </w:rPr>
        <w:t>发言人1：随着大模型推理能力的不断提升，它正在越来越多地渗透到各行各业的应用软件中，并已取得良好的商业变现模式。我们的集团因此决定全面加速在AI层面的商业化和规模化进程。通过半年的实践，我们发现行业内的大模型能力不断加强，同时出现了多种架构，如龙虾架构、海绵架构等。这使得我们在开发应用软件时能实现更高的商业价值，并且通过AI赋能，原本的记录分析系统已转变为能够创造行动结果、直接兑现业务价值的系统。</w:t>
      </w:r>
    </w:p>
    <w:p>
      <w:r>
        <w:rPr>
          <w:rFonts w:ascii="等线(中文正文)" w:hAnsi="等线(中文正文)" w:cs="等线(中文正文)" w:eastAsia="等线(中文正文)"/>
          <w:b w:val="false"/>
          <w:i w:val="false"/>
          <w:sz w:val="20"/>
        </w:rPr>
        <w:t/>
      </w:r>
    </w:p>
    <w:p>
      <w:pPr>
        <w:pStyle w:val="ab"/>
      </w:pPr>
      <w:r>
        <w:t>公司如何运用AI原生和增强模式推动产品增长？</w:t>
      </w:r>
    </w:p>
    <w:p>
      <w:r>
        <w:rPr>
          <w:rFonts w:ascii="等线(中文正文)" w:hAnsi="等线(中文正文)" w:cs="等线(中文正文)" w:eastAsia="等线(中文正文)"/>
          <w:b w:val="false"/>
          <w:i w:val="false"/>
          <w:sz w:val="20"/>
        </w:rPr>
        <w:t>发言人1：对于管理赋能和决策类业务，增强模式更为适用；而当涉及ERP、SARS等传统数据以及非结构化数据时，则更适合采用原生AI应用模式。这两种模式将在未来成为公司两大业务板块——数字营销和数字监管——持续深化的重要方向。例如，在数字监管领域，通过AI增强模式优化业务流程，在数字营销领域则更多采用原生AI应用，利用AI内容生成、播放、互动及转化等环节形成完整的业务闭环，降低客户获取成本，提高业务认可度和收益。</w:t>
      </w:r>
    </w:p>
    <w:p>
      <w:r>
        <w:rPr>
          <w:rFonts w:ascii="等线(中文正文)" w:hAnsi="等线(中文正文)" w:cs="等线(中文正文)" w:eastAsia="等线(中文正文)"/>
          <w:b w:val="false"/>
          <w:i w:val="false"/>
          <w:sz w:val="20"/>
        </w:rPr>
        <w:t/>
      </w:r>
    </w:p>
    <w:p>
      <w:pPr>
        <w:pStyle w:val="ab"/>
      </w:pPr>
      <w:r>
        <w:t>AI如何帮助公司在不同业务领域实现价值增长？</w:t>
      </w:r>
    </w:p>
    <w:p>
      <w:r>
        <w:rPr>
          <w:rFonts w:ascii="等线(中文正文)" w:hAnsi="等线(中文正文)" w:cs="等线(中文正文)" w:eastAsia="等线(中文正文)"/>
          <w:b w:val="false"/>
          <w:i w:val="false"/>
          <w:sz w:val="20"/>
        </w:rPr>
        <w:t>发言人1：AI的赋能使得软件在数字营销、数字监管及资管等多个领域能够从IT费用转变为营销费用，从而获得更高的回报。例如，在数字营销中，AI工牌、AI直播等工具能够深入客户营销场景，利用非结构化数据进行深入分析，形成闭环以完成业务目标；而在数字监管方面，AI智能检索、分析和风险提示等功能有效提升了业务效率和收入。</w:t>
      </w:r>
    </w:p>
    <w:p>
      <w:r>
        <w:rPr>
          <w:rFonts w:ascii="等线(中文正文)" w:hAnsi="等线(中文正文)" w:cs="等线(中文正文)" w:eastAsia="等线(中文正文)"/>
          <w:b w:val="false"/>
          <w:i w:val="false"/>
          <w:sz w:val="20"/>
        </w:rPr>
        <w:t/>
      </w:r>
    </w:p>
    <w:p>
      <w:pPr>
        <w:pStyle w:val="ab"/>
      </w:pPr>
      <w:r>
        <w:t>公司在数字营销板块如何调整策略以实现更好的增长？</w:t>
      </w:r>
    </w:p>
    <w:p>
      <w:r>
        <w:rPr>
          <w:rFonts w:ascii="等线(中文正文)" w:hAnsi="等线(中文正文)" w:cs="等线(中文正文)" w:eastAsia="等线(中文正文)"/>
          <w:b w:val="false"/>
          <w:i w:val="false"/>
          <w:sz w:val="20"/>
        </w:rPr>
        <w:t>发言人1：公司认识到仅依赖SaaS软件或AI软件销售无法满足业务结果负责的需求。未来将采取AI软件+流量+营销服务三合一的模式，以实现更好的业务效果。目前，公司在投流业务上已取得显著成效，如获得抖音和腾讯的投流代理权，通过三合一模式验证了其有效性，并通过这种方式将中国房地产十强中的八家变为战略集采客户。此外，公司还优化了资源配置，确保团队上下文统一，通过团队整体努力创造更多价值，进而获得平台更大的支持，扩大市场竞争力。</w:t>
      </w:r>
    </w:p>
    <w:p>
      <w:r>
        <w:rPr>
          <w:rFonts w:ascii="等线(中文正文)" w:hAnsi="等线(中文正文)" w:cs="等线(中文正文)" w:eastAsia="等线(中文正文)"/>
          <w:b w:val="false"/>
          <w:i w:val="false"/>
          <w:sz w:val="20"/>
        </w:rPr>
        <w:t/>
      </w:r>
    </w:p>
    <w:p>
      <w:pPr>
        <w:pStyle w:val="ab"/>
      </w:pPr>
      <w:r>
        <w:t>在汽车行业中，你们的三合一服务具体有哪些成果和表现？</w:t>
      </w:r>
    </w:p>
    <w:p>
      <w:r>
        <w:rPr>
          <w:rFonts w:ascii="等线(中文正文)" w:hAnsi="等线(中文正文)" w:cs="等线(中文正文)" w:eastAsia="等线(中文正文)"/>
          <w:b w:val="false"/>
          <w:i w:val="false"/>
          <w:sz w:val="20"/>
        </w:rPr>
        <w:t>发言人1：我们今年在汽车行业取得了显著突破，特别是在与奇瑞的合作上，他们在抖音的销售取得了销量第一的成绩。通过与奇瑞的战略合作，全国范围内开始铺设服务网络，其他主机厂也开始试点这种三合一的服务模式。目前汽车行业的4S店数量远少于地产行业，且在抖音上的营销费用是房地产行业的60倍。我们看到，随着营销费用增加，AI业务产品的收入也会相应提升。</w:t>
      </w:r>
    </w:p>
    <w:p>
      <w:r>
        <w:rPr>
          <w:rFonts w:ascii="等线(中文正文)" w:hAnsi="等线(中文正文)" w:cs="等线(中文正文)" w:eastAsia="等线(中文正文)"/>
          <w:b w:val="false"/>
          <w:i w:val="false"/>
          <w:sz w:val="20"/>
        </w:rPr>
        <w:t/>
      </w:r>
    </w:p>
    <w:p>
      <w:pPr>
        <w:pStyle w:val="ab"/>
      </w:pPr>
      <w:r>
        <w:t>除了新车销售，你们的线索型行业模式是否还能应用到车后市场中？</w:t>
      </w:r>
    </w:p>
    <w:p>
      <w:r>
        <w:rPr>
          <w:rFonts w:ascii="等线(中文正文)" w:hAnsi="等线(中文正文)" w:cs="等线(中文正文)" w:eastAsia="等线(中文正文)"/>
          <w:b w:val="false"/>
          <w:i w:val="false"/>
          <w:sz w:val="20"/>
        </w:rPr>
        <w:t>发言人1：是的，我们发现车后市场的规模大约是车前市场的十倍，这意味着在车后市场也可以使用线索型行业的模式。任何一家4S店都有卖新车和车后服务两项业务，其中车后服务的潜力巨大。</w:t>
      </w:r>
    </w:p>
    <w:p>
      <w:r>
        <w:rPr>
          <w:rFonts w:ascii="等线(中文正文)" w:hAnsi="等线(中文正文)" w:cs="等线(中文正文)" w:eastAsia="等线(中文正文)"/>
          <w:b w:val="false"/>
          <w:i w:val="false"/>
          <w:sz w:val="20"/>
        </w:rPr>
        <w:t/>
      </w:r>
    </w:p>
    <w:p>
      <w:pPr>
        <w:pStyle w:val="ab"/>
      </w:pPr>
      <w:r>
        <w:t>数字监管赛道上，你们的竞争优势体现在哪些方面？</w:t>
      </w:r>
    </w:p>
    <w:p>
      <w:r>
        <w:rPr>
          <w:rFonts w:ascii="等线(中文正文)" w:hAnsi="等线(中文正文)" w:cs="等线(中文正文)" w:eastAsia="等线(中文正文)"/>
          <w:b w:val="false"/>
          <w:i w:val="false"/>
          <w:sz w:val="20"/>
        </w:rPr>
        <w:t>发言人1：数字监管赛道相对较重，目前奠基者较少，不会有大模型直接进入。我们的优势在于深耕模式，并将传统ERP和SaaS系统作为底层数据库或决策分析系统。在此基础上，我们构建了解决数据问题的平台，能够将行业专属数据提供给大模型应用，并通过行业本体auto logy体系，使通用大模型理解和掌握特定行业的规则、数据、分析方法及know-how，从而实现技能和业务分析的智能化。</w:t>
      </w:r>
    </w:p>
    <w:p>
      <w:r>
        <w:rPr>
          <w:rFonts w:ascii="等线(中文正文)" w:hAnsi="等线(中文正文)" w:cs="等线(中文正文)" w:eastAsia="等线(中文正文)"/>
          <w:b w:val="false"/>
          <w:i w:val="false"/>
          <w:sz w:val="20"/>
        </w:rPr>
        <w:t/>
      </w:r>
    </w:p>
    <w:p>
      <w:pPr>
        <w:pStyle w:val="ab"/>
      </w:pPr>
      <w:r>
        <w:t>在数字监管领域，你们有哪些具体的应用案例和成果？</w:t>
      </w:r>
    </w:p>
    <w:p>
      <w:r>
        <w:rPr>
          <w:rFonts w:ascii="等线(中文正文)" w:hAnsi="等线(中文正文)" w:cs="等线(中文正文)" w:eastAsia="等线(中文正文)"/>
          <w:b w:val="false"/>
          <w:i w:val="false"/>
          <w:sz w:val="20"/>
        </w:rPr>
        <w:t>发言人1：我们在数字监管领域开发了多个原生产品，例如工程协同的AI智能秘书，能够解决甲乙双方在工程项目中大量数据交流和流程处理的问题；AI成本数据库，通过将合同、清单等转化为企业成本结构，提高了跨项目比较和投标效率；此外，还推出了资产分析和智能资产管理系统，以及租户客户服务智能管理助手，这些都通过AI技术有效提升了客户服务质量及企业管理效率。</w:t>
      </w:r>
    </w:p>
    <w:p>
      <w:r>
        <w:rPr>
          <w:rFonts w:ascii="等线(中文正文)" w:hAnsi="等线(中文正文)" w:cs="等线(中文正文)" w:eastAsia="等线(中文正文)"/>
          <w:b w:val="false"/>
          <w:i w:val="false"/>
          <w:sz w:val="20"/>
        </w:rPr>
        <w:t/>
      </w:r>
    </w:p>
    <w:p>
      <w:pPr>
        <w:pStyle w:val="ab"/>
      </w:pPr>
      <w:r>
        <w:t>管理层能否更新一下公司的最新经营目标和全年业绩指引？</w:t>
      </w:r>
    </w:p>
    <w:p>
      <w:r>
        <w:rPr>
          <w:rFonts w:ascii="等线(中文正文)" w:hAnsi="等线(中文正文)" w:cs="等线(中文正文)" w:eastAsia="等线(中文正文)"/>
          <w:b w:val="false"/>
          <w:i w:val="false"/>
          <w:sz w:val="20"/>
        </w:rPr>
        <w:t>发言人1：上半年由于中国房地产市场实际数据下滑，公司约70%的收入来自住宅房地产开发商，因此短期内签约和营收面临较大压力。同时，公司在AI创新、海外市场拓展及跨行业发展方面的战略投入也影响了营收和利润表现。针对这些情况，公司调整了全年业绩目标，预计2026年全年营收同比下滑约10%，成本和费用降幅超过10%，利润和经营性现金流均为正，但较去年同期会有较大幅度下降。</w:t>
      </w:r>
    </w:p>
    <w:p>
      <w:r>
        <w:rPr>
          <w:rFonts w:ascii="等线(中文正文)" w:hAnsi="等线(中文正文)" w:cs="等线(中文正文)" w:eastAsia="等线(中文正文)"/>
          <w:b w:val="false"/>
          <w:i w:val="false"/>
          <w:sz w:val="20"/>
        </w:rPr>
        <w:t/>
      </w:r>
    </w:p>
    <w:p>
      <w:pPr>
        <w:pStyle w:val="ab"/>
      </w:pPr>
      <w:r>
        <w:t>公司如何利用AI+投流服务+业务服务的三合一经营模式跨行业拓展，特别是在非不动产行业？</w:t>
      </w:r>
    </w:p>
    <w:p>
      <w:r>
        <w:rPr>
          <w:rFonts w:ascii="等线(中文正文)" w:hAnsi="等线(中文正文)" w:cs="等线(中文正文)" w:eastAsia="等线(中文正文)"/>
          <w:b w:val="false"/>
          <w:i w:val="false"/>
          <w:sz w:val="20"/>
        </w:rPr>
        <w:t>发言人1：我们在地产行业成功实践三合一模式后，得到了平台（如字节系、腾讯系）的大力推荐和支持，这使得我们的投流费用和客户回报率得到提升，实现了多方共赢。基于此经验，我们相信该模式在非不动产行业具有广泛的应用前景，并对未来一两年在其他领域取得更多突破充满信心。</w:t>
      </w:r>
    </w:p>
    <w:p>
      <w:r>
        <w:rPr>
          <w:rFonts w:ascii="等线(中文正文)" w:hAnsi="等线(中文正文)" w:cs="等线(中文正文)" w:eastAsia="等线(中文正文)"/>
          <w:b w:val="false"/>
          <w:i w:val="false"/>
          <w:sz w:val="20"/>
        </w:rPr>
        <w:t/>
      </w:r>
    </w:p>
    <w:p>
      <w:pPr>
        <w:pStyle w:val="ab"/>
      </w:pPr>
      <w:r>
        <w:t>公司现在是否有FDE相关的业务？公司在做FDE面临哪些机会和挑战？</w:t>
      </w:r>
    </w:p>
    <w:p>
      <w:r>
        <w:rPr>
          <w:rFonts w:ascii="等线(中文正文)" w:hAnsi="等线(中文正文)" w:cs="等线(中文正文)" w:eastAsia="等线(中文正文)"/>
          <w:b w:val="false"/>
          <w:i w:val="false"/>
          <w:sz w:val="20"/>
        </w:rPr>
        <w:t>发言人1：我们正在探索AI增强型和原生型产品，发现FDE（可能指AI赋能的业务模式）与传统交付模式存在较大差异。尽管存在风险，但我们认为机会大于风险。目前主要以小场景试点为主，聚焦于能够直接带来业务结果的项目，如数字营销、案场客户分析等。FDE的成功需要行业数据和专家团队的参与，而中国当前的FDE尚处于概念阶段，尚未出现类似欧美千万美金级别的大型项目。对于公司而言，FDE是一个增量机会，能服务客户的差异化需求，并通过积累经验形成批量复制的效率。未来更看重构建自有知识产权的FDE模型，以实现规模化推广。</w:t>
      </w:r>
    </w:p>
    <w:p>
      <w:r>
        <w:rPr>
          <w:rFonts w:ascii="等线(中文正文)" w:hAnsi="等线(中文正文)" w:cs="等线(中文正文)" w:eastAsia="等线(中文正文)"/>
          <w:b w:val="false"/>
          <w:i w:val="false"/>
          <w:sz w:val="20"/>
        </w:rPr>
        <w:t/>
      </w:r>
    </w:p>
    <w:p>
      <w:pPr>
        <w:pStyle w:val="ab"/>
      </w:pPr>
      <w:r>
        <w:t>能否详细介绍一下公司海外战略中的2+X产品布局？</w:t>
      </w:r>
    </w:p>
    <w:p>
      <w:r>
        <w:rPr>
          <w:rFonts w:ascii="等线(中文正文)" w:hAnsi="等线(中文正文)" w:cs="等线(中文正文)" w:eastAsia="等线(中文正文)"/>
          <w:b w:val="false"/>
          <w:i w:val="false"/>
          <w:sz w:val="20"/>
        </w:rPr>
        <w:t>发言人1：2+X产品战略中，“2”代表已经完成PMF验证、具备规模化推广的产品线，例如在日本市场经过验证的very reader产品，它能够很好地满足发达国家市场需求，如解决人工抄表难题、实时监控能耗以降低能耗、满足严格的ESG报告披露要求等。而“X”则代表正在探索和孵化的产品线，目前重点放在香港市场，针对发达国家市场进行产品孵化，重点关注能耗管理、设施设备运维和资产管理等领域。</w:t>
      </w:r>
    </w:p>
    <w:p>
      <w:r>
        <w:rPr>
          <w:rFonts w:ascii="等线(中文正文)" w:hAnsi="等线(中文正文)" w:cs="等线(中文正文)" w:eastAsia="等线(中文正文)"/>
          <w:b w:val="false"/>
          <w:i w:val="false"/>
          <w:sz w:val="20"/>
        </w:rPr>
        <w:t/>
      </w:r>
    </w:p>
    <w:p>
      <w:pPr>
        <w:pStyle w:val="ab"/>
      </w:pPr>
      <w:r>
        <w:t>下半年公司的现金管理规划是什么？</w:t>
      </w:r>
    </w:p>
    <w:p>
      <w:r>
        <w:rPr>
          <w:rFonts w:ascii="等线(中文正文)" w:hAnsi="等线(中文正文)" w:cs="等线(中文正文)" w:eastAsia="等线(中文正文)"/>
          <w:b w:val="false"/>
          <w:i w:val="false"/>
          <w:sz w:val="20"/>
        </w:rPr>
        <w:t>发言人1：公司将继续充分利用现金储备，通过投资并购加速在海外市场的拓展、AI创新以及跨行业发展。近期已投资美国重要伙伴，实现资本和业务层面深度合作，并通过参与全球知名不动产科技基金和AI基金整合产业资源，推动公司海外业务发展。同时，鉴于当前股价低于净资产值，公司将结合市场情况适时进行股份回购，以稳定股价并回报投资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2026-08-26T14:15:48Z</dcterms:created>
  <dc:creator>Apache POI</dc:creator>
</cp:coreProperties>
</file>