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特海国际[HDL.O]2026年第二季度业绩交流会 260826_导读</w:t>
      </w:r>
    </w:p>
    <w:p>
      <w:pPr>
        <w:pStyle w:val="a0"/>
        <w:jc w:val="center"/>
      </w:pPr>
      <w:r>
        <w:t>2026年08月26日 21:58</w:t>
      </w:r>
    </w:p>
    <w:p>
      <w:pPr>
        <w:pStyle w:val="a7"/>
      </w:pPr>
      <w:r>
        <w:t>关键词</w:t>
      </w:r>
    </w:p>
    <w:p>
      <w:r>
        <w:rPr>
          <w:rFonts w:ascii="等线(中文正文)" w:hAnsi="等线(中文正文)" w:cs="等线(中文正文)" w:eastAsia="等线(中文正文)"/>
          <w:b w:val="false"/>
          <w:i w:val="false"/>
          <w:sz w:val="20"/>
        </w:rPr>
        <w:t xml:space="preserve">海底捞 李瑜 徐聪 收入 经营利润 翻台率 顾客 员工成本 外卖 红石榴计划 东南亚 东亚 北美 同店销售 汇率 现金流 供应链 中台建设 新品牌 成本费用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特海国际在2026年第二季度业绩发布会上展示了其经营与财务表现的显著提升，接待顾客810万人次，较去年同期增长5.2%，总收入达2.19亿美金，同比增长10%，经营利润提升118.9%。公司通过优化员工成本率和多项运营费用，有效提升了经营效益。财务总监强调，尽管汇率波动影响了净利润，但经营利润率仍明显改善。在问答环节中，公司针对海外市场中台建设、成本控制、客单价趋势、新店扩张区域、供应链本地化及汇率影响等话题进行了回应，展现了其国际化进程中的策略与未来规划，体现了对公司业绩持续增长的信心。</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特海国际2026年第二季度业绩增长与经营策略</w:t>
      </w:r>
    </w:p>
    <w:p>
      <w:r>
        <w:rPr>
          <w:rFonts w:ascii="等线(中文正文)" w:hAnsi="等线(中文正文)" w:cs="等线(中文正文)" w:eastAsia="等线(中文正文)"/>
          <w:b w:val="false"/>
          <w:i w:val="false"/>
          <w:sz w:val="20"/>
        </w:rPr>
        <w:t>特海国际2026年第二季度业绩显著提升，收入达2.19亿美金，同比增长10%，经营利润增长118.9%。公司通过优化管理、产品创新、会员营销等措施，提高顾客体验和复购率，同时加快海外门店扩张，截至二季度末海外共运营129家餐厅。未来将持续推进经营策略，增强品牌影响力和市场竞争力。</w:t>
      </w:r>
    </w:p>
    <w:p>
      <w:r>
        <w:rPr>
          <w:rFonts w:ascii="等线(中文正文)" w:hAnsi="等线(中文正文)" w:cs="等线(中文正文)" w:eastAsia="等线(中文正文)"/>
          <w:b w:val="false"/>
          <w:i w:val="false"/>
          <w:sz w:val="20"/>
        </w:rPr>
        <w:t/>
      </w:r>
    </w:p>
    <w:p>
      <w:pPr>
        <w:pStyle w:val="ab"/>
        <w:numPr>
          <w:numId w:val="2"/>
        </w:numPr>
      </w:pPr>
      <w:r>
        <w:t>06:29 红石榴计划与海底捞财务表现</w:t>
      </w:r>
    </w:p>
    <w:p>
      <w:r>
        <w:rPr>
          <w:rFonts w:ascii="等线(中文正文)" w:hAnsi="等线(中文正文)" w:cs="等线(中文正文)" w:eastAsia="等线(中文正文)"/>
          <w:b w:val="false"/>
          <w:i w:val="false"/>
          <w:sz w:val="20"/>
        </w:rPr>
        <w:t>红石榴计划在海外成功运营多个品牌，hybrid麻辣烫项目在日本复制第二家门店，居酒屋项目稳定提升。海底捞2026年第二季度总收入2.19亿美元，同比增长10%，其中餐厅收入1.98亿美元，外卖业务收入756万美元，同比增长105%。整体运营效率提升，经营利润810万美元，同比增长118.9%，但受汇率影响，税后净亏损193万美元。</w:t>
      </w:r>
    </w:p>
    <w:p>
      <w:r>
        <w:rPr>
          <w:rFonts w:ascii="等线(中文正文)" w:hAnsi="等线(中文正文)" w:cs="等线(中文正文)" w:eastAsia="等线(中文正文)"/>
          <w:b w:val="false"/>
          <w:i w:val="false"/>
          <w:sz w:val="20"/>
        </w:rPr>
        <w:t/>
      </w:r>
    </w:p>
    <w:p>
      <w:pPr>
        <w:pStyle w:val="ab"/>
        <w:numPr>
          <w:numId w:val="3"/>
        </w:numPr>
      </w:pPr>
      <w:r>
        <w:t>12:04 公司现金流与区域经营表现回顾</w:t>
      </w:r>
    </w:p>
    <w:p>
      <w:r>
        <w:rPr>
          <w:rFonts w:ascii="等线(中文正文)" w:hAnsi="等线(中文正文)" w:cs="等线(中文正文)" w:eastAsia="等线(中文正文)"/>
          <w:b w:val="false"/>
          <w:i w:val="false"/>
          <w:sz w:val="20"/>
        </w:rPr>
        <w:t>本季度公司经营现金流为2824万美元净流入，较去年同期增长6.2%。资金储备充足，将用于门店拓展和第二品牌投入。东南亚和东亚市场表现稳健，翻台率和收入均有所提升；北美市场需提升客流和运营效率；其他地区受地缘影响，但正逐步恢复。同店销售额下降0.8%，各区域分化明显。</w:t>
      </w:r>
    </w:p>
    <w:p>
      <w:r>
        <w:rPr>
          <w:rFonts w:ascii="等线(中文正文)" w:hAnsi="等线(中文正文)" w:cs="等线(中文正文)" w:eastAsia="等线(中文正文)"/>
          <w:b w:val="false"/>
          <w:i w:val="false"/>
          <w:sz w:val="20"/>
        </w:rPr>
        <w:t/>
      </w:r>
    </w:p>
    <w:p>
      <w:pPr>
        <w:pStyle w:val="ab"/>
        <w:numPr>
          <w:numId w:val="4"/>
        </w:numPr>
      </w:pPr>
      <w:r>
        <w:t>16:35 海底捞海外扩张策略与成本控制</w:t>
      </w:r>
    </w:p>
    <w:p>
      <w:r>
        <w:rPr>
          <w:rFonts w:ascii="等线(中文正文)" w:hAnsi="等线(中文正文)" w:cs="等线(中文正文)" w:eastAsia="等线(中文正文)"/>
          <w:b w:val="false"/>
          <w:i w:val="false"/>
          <w:sz w:val="20"/>
        </w:rPr>
        <w:t>讨论了海底捞在海外市场的中台建设策略，强调总部集中建设共性能力，区域团队结合当地市场进行转化和落地。分享了两个新品牌模型：hybrid麻辣烫和日本居酒屋，并阐述了长期投入与短期业绩平衡的原则。在成本费用管控上，聚焦于缩小门店经营水平差距，通过提升客流翻台和日常精细化管理来优化成本。</w:t>
      </w:r>
    </w:p>
    <w:p>
      <w:r>
        <w:rPr>
          <w:rFonts w:ascii="等线(中文正文)" w:hAnsi="等线(中文正文)" w:cs="等线(中文正文)" w:eastAsia="等线(中文正文)"/>
          <w:b w:val="false"/>
          <w:i w:val="false"/>
          <w:sz w:val="20"/>
        </w:rPr>
        <w:t/>
      </w:r>
    </w:p>
    <w:p>
      <w:pPr>
        <w:pStyle w:val="ab"/>
        <w:numPr>
          <w:numId w:val="5"/>
        </w:numPr>
      </w:pPr>
      <w:r>
        <w:t>22:00 海外中餐品牌竞争与本土化策略探讨</w:t>
      </w:r>
    </w:p>
    <w:p>
      <w:r>
        <w:rPr>
          <w:rFonts w:ascii="等线(中文正文)" w:hAnsi="等线(中文正文)" w:cs="等线(中文正文)" w:eastAsia="等线(中文正文)"/>
          <w:b w:val="false"/>
          <w:i w:val="false"/>
          <w:sz w:val="20"/>
        </w:rPr>
        <w:t>对话讨论了中国火锅品牌在海外市场的竞争态势及本土化策略。面对海外中餐市场的增长，品牌通过产品、服务和顾客体验提升吸引力，同时采取灵活的营销策略，如结合当地文化活动、利用社交媒体话题性产品等，以自然增长品牌声量。强调顾客就餐满意度为品牌影响力的根本，而非单纯依赖营销曝光。</w:t>
      </w:r>
    </w:p>
    <w:p>
      <w:r>
        <w:rPr>
          <w:rFonts w:ascii="等线(中文正文)" w:hAnsi="等线(中文正文)" w:cs="等线(中文正文)" w:eastAsia="等线(中文正文)"/>
          <w:b w:val="false"/>
          <w:i w:val="false"/>
          <w:sz w:val="20"/>
        </w:rPr>
        <w:t/>
      </w:r>
    </w:p>
    <w:p>
      <w:pPr>
        <w:pStyle w:val="ab"/>
        <w:numPr>
          <w:numId w:val="6"/>
        </w:numPr>
      </w:pPr>
      <w:r>
        <w:t>27:00 提升翻台率策略：多元化客群与本地化运营</w:t>
      </w:r>
    </w:p>
    <w:p>
      <w:r>
        <w:rPr>
          <w:rFonts w:ascii="等线(中文正文)" w:hAnsi="等线(中文正文)" w:cs="等线(中文正文)" w:eastAsia="等线(中文正文)"/>
          <w:b w:val="false"/>
          <w:i w:val="false"/>
          <w:sz w:val="20"/>
        </w:rPr>
        <w:t>二季度整体翻台率同比提升0.1轮，健康趋势显现，但区域分化明显。北美等地区因客群集中面临挑战，短期采取菜品调整与错峰经营，长期目标是多元化客群结构，强化会员与本地化营销。对于地缘政治影响，通过灵活策略调整与费用控制维持韧性。总部精准定位问题，当地团队负责执行，必要时调改搬迁，确保资源有效利用。</w:t>
      </w:r>
    </w:p>
    <w:p>
      <w:r>
        <w:rPr>
          <w:rFonts w:ascii="等线(中文正文)" w:hAnsi="等线(中文正文)" w:cs="等线(中文正文)" w:eastAsia="等线(中文正文)"/>
          <w:b w:val="false"/>
          <w:i w:val="false"/>
          <w:sz w:val="20"/>
        </w:rPr>
        <w:t/>
      </w:r>
    </w:p>
    <w:p>
      <w:pPr>
        <w:pStyle w:val="ab"/>
        <w:numPr>
          <w:numId w:val="7"/>
        </w:numPr>
      </w:pPr>
      <w:r>
        <w:t>29:03 公司策略与财务展望：客单价、开店计划与回本期</w:t>
      </w:r>
    </w:p>
    <w:p>
      <w:r>
        <w:rPr>
          <w:rFonts w:ascii="等线(中文正文)" w:hAnsi="等线(中文正文)" w:cs="等线(中文正文)" w:eastAsia="等线(中文正文)"/>
          <w:b w:val="false"/>
          <w:i w:val="false"/>
          <w:sz w:val="20"/>
        </w:rPr>
        <w:t>讨论了公司对于第三季度和第四季度客单价的展望，强调不会简单地将成本转嫁给消费者，而是通过增加新品和调整产品组合提升价值感。关于开店计划，预计下半年在北美、东亚和东南亚等地区有双位数的新店开业，同时有约十几间门店处于工程阶段，新市场进入将谨慎评估。新店回本期大致为3至4年，东南亚回本较快，欧美较慢，选址更加谨慎导致回本期更可控，单店投入受多种因素影响，但整体保持稳定。</w:t>
      </w:r>
    </w:p>
    <w:p>
      <w:r>
        <w:rPr>
          <w:rFonts w:ascii="等线(中文正文)" w:hAnsi="等线(中文正文)" w:cs="等线(中文正文)" w:eastAsia="等线(中文正文)"/>
          <w:b w:val="false"/>
          <w:i w:val="false"/>
          <w:sz w:val="20"/>
        </w:rPr>
        <w:t/>
      </w:r>
    </w:p>
    <w:p>
      <w:pPr>
        <w:pStyle w:val="ab"/>
        <w:numPr>
          <w:numId w:val="8"/>
        </w:numPr>
      </w:pPr>
      <w:r>
        <w:t>32:48 供应链本地化与汇率管理策略</w:t>
      </w:r>
    </w:p>
    <w:p>
      <w:r>
        <w:rPr>
          <w:rFonts w:ascii="等线(中文正文)" w:hAnsi="等线(中文正文)" w:cs="等线(中文正文)" w:eastAsia="等线(中文正文)"/>
          <w:b w:val="false"/>
          <w:i w:val="false"/>
          <w:sz w:val="20"/>
        </w:rPr>
        <w:t>对话围绕供应链本地化和汇率影响展开。供应链方面，新加坡和马来市场已建立成熟的本地采购体系，核心调味料等由中央厨房或成熟供应商提供，中央厨房根据门店密度和配送效率决定扩张，富余产能用于对外销售。汇率管理上，收入与成本多在本地市场发生，自然对冲跨境汇率风险，同时针对跨境结算的敞口，公司将监测并评估合适的资金和汇率管理方式，避免投机性操作。</w:t>
      </w:r>
    </w:p>
    <w:p>
      <w:r>
        <w:rPr>
          <w:rFonts w:ascii="等线(中文正文)" w:hAnsi="等线(中文正文)" w:cs="等线(中文正文)" w:eastAsia="等线(中文正文)"/>
          <w:b w:val="false"/>
          <w:i w:val="false"/>
          <w:sz w:val="20"/>
        </w:rPr>
        <w:t/>
      </w:r>
    </w:p>
    <w:p>
      <w:pPr>
        <w:pStyle w:val="ab"/>
        <w:numPr>
          <w:numId w:val="9"/>
        </w:numPr>
      </w:pPr>
      <w:r>
        <w:t>36:19 门店表现与考核激励机制详解</w:t>
      </w:r>
    </w:p>
    <w:p>
      <w:r>
        <w:rPr>
          <w:rFonts w:ascii="等线(中文正文)" w:hAnsi="等线(中文正文)" w:cs="等线(中文正文)" w:eastAsia="等线(中文正文)"/>
          <w:b w:val="false"/>
          <w:i w:val="false"/>
          <w:sz w:val="20"/>
        </w:rPr>
        <w:t>对话围绕门店表现差异与考核激励机制展开。新店初期需经历团队磨合等阶段，但近年门店爬坡速度加快，得益于选址、设计等环节的优化。考核激励方面，公司注重顾客满意度、员工培养及长期经营质量，通过提供成长空间与分享成果确保团队稳定性。</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主持并介绍了特海国际2026年第二季度的业绩发布会，着重强调了会议中可能包含前瞻性陈述，并提醒参与者内容基于管理层截至近日的观点。发布会以中文进行，同时提供英文翻译及会议材料。他回顾了第二季度公司的主要经营情况，包括员工和顾客投入带来的成效，如客流及翻台率提升、员工成本率和多项运营费用下降，以及收入增长。此外，提及了海外门店扩张、新品牌“红石榴计划”进展和成本费用优化。他还详细回答了多个方面的问题，包括中台建设、成本费用管控、海外市场策略、新品牌孵化、汇率影响、供应链本地化和人才稳定等，提供了详尽解答，并感谢参与者的提问后宣布会议圆满结束。</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问：特海国际2026年第二季度的业绩情况如何？</w:t>
      </w:r>
    </w:p>
    <w:p>
      <w:r>
        <w:rPr>
          <w:rFonts w:ascii="等线(中文正文)" w:hAnsi="等线(中文正文)" w:cs="等线(中文正文)" w:eastAsia="等线(中文正文)"/>
          <w:b w:val="false"/>
          <w:i w:val="false"/>
          <w:sz w:val="20"/>
        </w:rPr>
        <w:t>发言人1 答：在2026年第二季度，特海国际持续优化员工和顾客投入，客流及翻台率较去年同期有所提升。本季度海底捞餐厅接待顾客810万人次，同比增长5.2%；整体翻台率达到了3.9人每天，同店翻台率则为4.0轮每天，均较去年同期有所增长。外卖及其他业务收入实现翻倍增长，推动公司整体收入达到2.19亿美金，同比增长10%。经营利润同比增长显著，达到118.9%，经营利润率提升1.8个百分点至17.5%，反映出前期投入的持续转化和经营杠杆开始释放。</w:t>
      </w:r>
    </w:p>
    <w:p>
      <w:r>
        <w:rPr>
          <w:rFonts w:ascii="等线(中文正文)" w:hAnsi="等线(中文正文)" w:cs="等线(中文正文)" w:eastAsia="等线(中文正文)"/>
          <w:b w:val="false"/>
          <w:i w:val="false"/>
          <w:sz w:val="20"/>
        </w:rPr>
        <w:t/>
      </w:r>
    </w:p>
    <w:p>
      <w:pPr>
        <w:pStyle w:val="ab"/>
      </w:pPr>
      <w:r>
        <w:t>发言人1 问：特海国际在运营管理、产品与菜单、会员及营销等方面采取了哪些措施？</w:t>
      </w:r>
    </w:p>
    <w:p>
      <w:r>
        <w:rPr>
          <w:rFonts w:ascii="等线(中文正文)" w:hAnsi="等线(中文正文)" w:cs="等线(中文正文)" w:eastAsia="等线(中文正文)"/>
          <w:b w:val="false"/>
          <w:i w:val="false"/>
          <w:sz w:val="20"/>
        </w:rPr>
        <w:t>发言人1 答：在运营管理方面，特海国际保持管理灵活性，各区域根据本地情况自主调整经营策略，并通过引入数字化工具及新技术提升对行业、市场及消费者的洞察能力，赋能一线餐厅提升经营决策效率。在产品与菜单方面，公司结合消费者饮食习惯和消费趋势，推动菜单优化和新品研发，注重微创新以增强产品连带消费，并优化口味和产品组合降低顾客尝试门槛。会员及营销方面，持续进行精准引流和会员运营，加强品牌曝光和新客触达，同时通过活动等方式提升会员活跃度和到店频次。</w:t>
      </w:r>
    </w:p>
    <w:p>
      <w:r>
        <w:rPr>
          <w:rFonts w:ascii="等线(中文正文)" w:hAnsi="等线(中文正文)" w:cs="等线(中文正文)" w:eastAsia="等线(中文正文)"/>
          <w:b w:val="false"/>
          <w:i w:val="false"/>
          <w:sz w:val="20"/>
        </w:rPr>
        <w:t/>
      </w:r>
    </w:p>
    <w:p>
      <w:pPr>
        <w:pStyle w:val="ab"/>
      </w:pPr>
      <w:r>
        <w:t>发言人1 问：特海国际门店网络扩张及品牌孵化的情况怎样？</w:t>
      </w:r>
    </w:p>
    <w:p>
      <w:r>
        <w:rPr>
          <w:rFonts w:ascii="等线(中文正文)" w:hAnsi="等线(中文正文)" w:cs="等线(中文正文)" w:eastAsia="等线(中文正文)"/>
          <w:b w:val="false"/>
          <w:i w:val="false"/>
          <w:sz w:val="20"/>
        </w:rPr>
        <w:t>发言人1 答：本季度特海国际在海外新开业一家海底捞门店，上半年合计新开业三家，截至二季度末海外运营总数达到129家。同时，签约未开放的海底捞门店仍保持双位数增长。此外，红石榴计划下已运营12个品牌和22家第二品牌餐厅，部分新品牌如hybrid麻辣烫项目在日本复制成功并稳步运营。各国市场正在探索自主孵化或复制第二品牌业态的机会。</w:t>
      </w:r>
    </w:p>
    <w:p>
      <w:r>
        <w:rPr>
          <w:rFonts w:ascii="等线(中文正文)" w:hAnsi="等线(中文正文)" w:cs="等线(中文正文)" w:eastAsia="等线(中文正文)"/>
          <w:b w:val="false"/>
          <w:i w:val="false"/>
          <w:sz w:val="20"/>
        </w:rPr>
        <w:t/>
      </w:r>
    </w:p>
    <w:p>
      <w:pPr>
        <w:pStyle w:val="ab"/>
      </w:pPr>
      <w:r>
        <w:t>发言人1 问：特海国际第二季度的财务表现情况如何？</w:t>
      </w:r>
    </w:p>
    <w:p>
      <w:r>
        <w:rPr>
          <w:rFonts w:ascii="等线(中文正文)" w:hAnsi="等线(中文正文)" w:cs="等线(中文正文)" w:eastAsia="等线(中文正文)"/>
          <w:b w:val="false"/>
          <w:i w:val="false"/>
          <w:sz w:val="20"/>
        </w:rPr>
        <w:t>发言人1 答：2026年第二季度，特海国际实现总收入2.19亿美元，同比增长10%。其中，海底捞餐厅营业收入为1.98亿美元，同比增长4.6%，接待顾客约810万人次，同比增长5.2%。除唐氏业务外，外卖和其他业务收入分别增长105%和119.7%，占公司收入比重分别提升至9.6%和约10.3%，收入结构进一步多元化。同时，成本费用方面得到改善，原材料和易耗品成本、员工成本、租金和相关开支、水电开支、折旧和摊销以及差旅、通信和其他开支等均有不同程度下降，这些因素共同促成了经营利润率的提升。</w:t>
      </w:r>
    </w:p>
    <w:p>
      <w:r>
        <w:rPr>
          <w:rFonts w:ascii="等线(中文正文)" w:hAnsi="等线(中文正文)" w:cs="等线(中文正文)" w:eastAsia="等线(中文正文)"/>
          <w:b w:val="false"/>
          <w:i w:val="false"/>
          <w:sz w:val="20"/>
        </w:rPr>
        <w:t/>
      </w:r>
    </w:p>
    <w:p>
      <w:pPr>
        <w:pStyle w:val="ab"/>
      </w:pPr>
      <w:r>
        <w:t>发言人1 问： 第二季度公司经营利润相比去年同期增长了多少，经营利润率有何变化？ 本季度公司的非经营类项目受到了什么因素的影响？</w:t>
      </w:r>
    </w:p>
    <w:p>
      <w:r>
        <w:rPr>
          <w:rFonts w:ascii="等线(中文正文)" w:hAnsi="等线(中文正文)" w:cs="等线(中文正文)" w:eastAsia="等线(中文正文)"/>
          <w:b w:val="false"/>
          <w:i w:val="false"/>
          <w:sz w:val="20"/>
        </w:rPr>
        <w:t>发言人1 答： 第二季度公司实现经营利润约810万美元，比去年同期的370万美元增长约118.9%。经营利润率由去年同期的1.9%提升至3.7%，同比提升了1.8个百分点。 本季度非经营类项目受到汇率波动影响较大。去年同期有约1633万美元的汇兑净收益，而本季度则出现434万美元的汇兑净损失，同比形成了超过2000万美元的负向变化。</w:t>
      </w:r>
    </w:p>
    <w:p>
      <w:r>
        <w:rPr>
          <w:rFonts w:ascii="等线(中文正文)" w:hAnsi="等线(中文正文)" w:cs="等线(中文正文)" w:eastAsia="等线(中文正文)"/>
          <w:b w:val="false"/>
          <w:i w:val="false"/>
          <w:sz w:val="20"/>
        </w:rPr>
        <w:t/>
      </w:r>
    </w:p>
    <w:p>
      <w:pPr>
        <w:pStyle w:val="ab"/>
      </w:pPr>
      <w:r>
        <w:t>发言人1 问： 第二季度公司经营现金流为多少，相比去年同期增长了多少？ 第二季度公司的接待顾客数量及翻台率如何？</w:t>
      </w:r>
    </w:p>
    <w:p>
      <w:r>
        <w:rPr>
          <w:rFonts w:ascii="等线(中文正文)" w:hAnsi="等线(中文正文)" w:cs="等线(中文正文)" w:eastAsia="等线(中文正文)"/>
          <w:b w:val="false"/>
          <w:i w:val="false"/>
          <w:sz w:val="20"/>
        </w:rPr>
        <w:t>发言人1 答： 第二季度公司经营现金流为2824万美元的净流入，相比去年同期的2602660万美元的净流入增加了6.2%。 第二季度公司接待顾客810万人次，比去年同期增长5.2%。餐厅整体平均翻台率为3.9仑每天，比去年同期提升0.1轮每天。</w:t>
      </w:r>
    </w:p>
    <w:p>
      <w:r>
        <w:rPr>
          <w:rFonts w:ascii="等线(中文正文)" w:hAnsi="等线(中文正文)" w:cs="等线(中文正文)" w:eastAsia="等线(中文正文)"/>
          <w:b w:val="false"/>
          <w:i w:val="false"/>
          <w:sz w:val="20"/>
        </w:rPr>
        <w:t/>
      </w:r>
    </w:p>
    <w:p>
      <w:pPr>
        <w:pStyle w:val="ab"/>
      </w:pPr>
      <w:r>
        <w:t>发言人1 问： 各个地区的餐厅表现情况如何？</w:t>
      </w:r>
    </w:p>
    <w:p>
      <w:r>
        <w:rPr>
          <w:rFonts w:ascii="等线(中文正文)" w:hAnsi="等线(中文正文)" w:cs="等线(中文正文)" w:eastAsia="等线(中文正文)"/>
          <w:b w:val="false"/>
          <w:i w:val="false"/>
          <w:sz w:val="20"/>
        </w:rPr>
        <w:t>发言人1 答： 东南亚地区餐厅整体收入同比增长3.9%，保持稳健向上的经营态势；东亚地区餐厅收入同比增长9.9%，继续保持较高水平；北美地区餐厅收入同比增长6.6%，但单餐厅日均收入有所下降；其他地区餐厅收入同比下降约1.8%，主要受到中东地区地缘波动的影响。</w:t>
      </w:r>
    </w:p>
    <w:p>
      <w:r>
        <w:rPr>
          <w:rFonts w:ascii="等线(中文正文)" w:hAnsi="等线(中文正文)" w:cs="等线(中文正文)" w:eastAsia="等线(中文正文)"/>
          <w:b w:val="false"/>
          <w:i w:val="false"/>
          <w:sz w:val="20"/>
        </w:rPr>
        <w:t/>
      </w:r>
    </w:p>
    <w:p>
      <w:pPr>
        <w:pStyle w:val="ab"/>
      </w:pPr>
      <w:r>
        <w:t>发言人1 问： 关于海底捞的智能中台建设、红石榴计划以及成本费用管控方面的规划和举措是什么？</w:t>
      </w:r>
    </w:p>
    <w:p>
      <w:r>
        <w:rPr>
          <w:rFonts w:ascii="等线(中文正文)" w:hAnsi="等线(中文正文)" w:cs="等线(中文正文)" w:eastAsia="等线(中文正文)"/>
          <w:b w:val="false"/>
          <w:i w:val="false"/>
          <w:sz w:val="20"/>
        </w:rPr>
        <w:t>发言人1 答： 海外中台建设的原则是在总部集中建设共性能力，如数字系统、大宗供应链等，并由区域团队结合当地市场进行转化和落地。红石榴计划中，目前有两个较为成功的项目：hybrid麻辣烫和日本居酒屋。在新品牌投入和公司短期业绩之间，公司的原则是用小成本验证确定性，避免盲目追求规模。对于成本费用管控，公司将继续优化费用分配，对已验证跑通的模型进行规模复制，并设计好回报路径和预期。</w:t>
      </w:r>
    </w:p>
    <w:p>
      <w:r>
        <w:rPr>
          <w:rFonts w:ascii="等线(中文正文)" w:hAnsi="等线(中文正文)" w:cs="等线(中文正文)" w:eastAsia="等线(中文正文)"/>
          <w:b w:val="false"/>
          <w:i w:val="false"/>
          <w:sz w:val="20"/>
        </w:rPr>
        <w:t/>
      </w:r>
    </w:p>
    <w:p>
      <w:pPr>
        <w:pStyle w:val="ab"/>
      </w:pPr>
      <w:r>
        <w:t>发言人1 问：在成本费用管控上，公司的重点是什么？</w:t>
      </w:r>
    </w:p>
    <w:p>
      <w:r>
        <w:rPr>
          <w:rFonts w:ascii="等线(中文正文)" w:hAnsi="等线(中文正文)" w:cs="等线(中文正文)" w:eastAsia="等线(中文正文)"/>
          <w:b w:val="false"/>
          <w:i w:val="false"/>
          <w:sz w:val="20"/>
        </w:rPr>
        <w:t>发言人1 答：在成本费用管控上，公司的重点不在于整体下压成本，而在于缩小门店之间的经营水平差距。目标是提升表现不及预期的门店至平均水平，提高整体利润率贡献比在已经健康的门店上持续保持低成本，以实现更持久的效率提升。同时，通过识别自然改善来源，如经营杠杆（旺季时客流和翻台率增长摊薄固定成本）和日常精细化管理（优化人员配置、排班效率、供应与库存消耗）来降低成本。</w:t>
      </w:r>
    </w:p>
    <w:p>
      <w:r>
        <w:rPr>
          <w:rFonts w:ascii="等线(中文正文)" w:hAnsi="等线(中文正文)" w:cs="等线(中文正文)" w:eastAsia="等线(中文正文)"/>
          <w:b w:val="false"/>
          <w:i w:val="false"/>
          <w:sz w:val="20"/>
        </w:rPr>
        <w:t/>
      </w:r>
    </w:p>
    <w:p>
      <w:pPr>
        <w:pStyle w:val="ab"/>
      </w:pPr>
      <w:r>
        <w:t>发言人1 问：集团层面经营利润率与餐厅利润率之间的差距是如何产生的？</w:t>
      </w:r>
    </w:p>
    <w:p>
      <w:r>
        <w:rPr>
          <w:rFonts w:ascii="等线(中文正文)" w:hAnsi="等线(中文正文)" w:cs="等线(中文正文)" w:eastAsia="等线(中文正文)"/>
          <w:b w:val="false"/>
          <w:i w:val="false"/>
          <w:sz w:val="20"/>
        </w:rPr>
        <w:t>发言人1 答：集团层面经营利润率与餐厅利润率之间的差距部分来源于红石榴新品牌孵化和总部中台能力建设的投入。这些面向未来的发展投入不会因短期利润压力而停止，但公司会控制节奏并严格预算，随着新品牌逐步贡献收入及中台能力建设完成主要投入期，这个差距会逐步收窄。</w:t>
      </w:r>
    </w:p>
    <w:p>
      <w:r>
        <w:rPr>
          <w:rFonts w:ascii="等线(中文正文)" w:hAnsi="等线(中文正文)" w:cs="等线(中文正文)" w:eastAsia="等线(中文正文)"/>
          <w:b w:val="false"/>
          <w:i w:val="false"/>
          <w:sz w:val="20"/>
        </w:rPr>
        <w:t/>
      </w:r>
    </w:p>
    <w:p>
      <w:pPr>
        <w:pStyle w:val="ab"/>
      </w:pPr>
      <w:r>
        <w:t>发言人1 问：面对海外市场中餐品牌竞争以及自身品牌声量提升，公司有何策略？</w:t>
      </w:r>
    </w:p>
    <w:p>
      <w:r>
        <w:rPr>
          <w:rFonts w:ascii="等线(中文正文)" w:hAnsi="等线(中文正文)" w:cs="等线(中文正文)" w:eastAsia="等线(中文正文)"/>
          <w:b w:val="false"/>
          <w:i w:val="false"/>
          <w:sz w:val="20"/>
        </w:rPr>
        <w:t>发言人1 答：对于海外市场，公司除了关注中餐火锅外，也关注当地整个餐饮市场。随着海外消费者对亚洲餐饮中餐接受度提升，海外市场发展空间较大。公司主品牌目前处在中餐火锅赛道的初期阶段，通过产品、服务和顾客体验提升品牌吸引力，并通过多样化项目如红石榴计划孵化本土餐厅来适应市场。在品牌声量提升上，公司不依赖高营销投入，而是围绕产品服务和门店体验自然增长声量，通过当地团队灵活执行营销活动，利用社交媒体话题性产品进行传播，并将线上线下活动相结合，以会员运营和精细化管理提升复购率和推荐增量。同时，公司高度重视顾客就餐满意度，认为这是品牌影响力的真正沉淀。</w:t>
      </w:r>
    </w:p>
    <w:p>
      <w:r>
        <w:rPr>
          <w:rFonts w:ascii="等线(中文正文)" w:hAnsi="等线(中文正文)" w:cs="等线(中文正文)" w:eastAsia="等线(中文正文)"/>
          <w:b w:val="false"/>
          <w:i w:val="false"/>
          <w:sz w:val="20"/>
        </w:rPr>
        <w:t/>
      </w:r>
    </w:p>
    <w:p>
      <w:pPr>
        <w:pStyle w:val="ab"/>
      </w:pPr>
      <w:r>
        <w:t>发言人1 问：对于翻台率需要改进的门店，公司将采取何种具体措施提升？</w:t>
      </w:r>
    </w:p>
    <w:p>
      <w:r>
        <w:rPr>
          <w:rFonts w:ascii="等线(中文正文)" w:hAnsi="等线(中文正文)" w:cs="等线(中文正文)" w:eastAsia="等线(中文正文)"/>
          <w:b w:val="false"/>
          <w:i w:val="false"/>
          <w:sz w:val="20"/>
        </w:rPr>
        <w:t>发言人1 答：针对翻台率需改进的门店，公司会根据区域间表现差异采取不同策略。例如，在北美地区，部分门店客群结构集中，会通过调整菜品组合、错峰经营等方式拉动客流，但根本上还是需要多元化顾客结构，扎实做好会员运营和本地化营销，降低对单一客群的依赖。对于受地缘政治等外部因素影响的门店，公司会根据实际情况及时调整策略，保持门店经营韧性。总部角色在于帮助门店找准问题，通过经营数据归因翻台率落后的原因，并由当地团队解决问题，必要时会果断调改搬迁门店，确保经营质量。</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2026-08-26T14:15:48Z</dcterms:created>
  <dc:creator>Apache POI</dc:creator>
</cp:coreProperties>
</file>