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华图山鼎（300492）近期经营情况沟通会 260826_导读</w:t>
      </w:r>
    </w:p>
    <w:p>
      <w:pPr>
        <w:pStyle w:val="a0"/>
        <w:jc w:val="center"/>
      </w:pPr>
      <w:r>
        <w:t>2026年08月26日 21:58</w:t>
      </w:r>
    </w:p>
    <w:p>
      <w:pPr>
        <w:pStyle w:val="a7"/>
      </w:pPr>
      <w:r>
        <w:t>关键词</w:t>
      </w:r>
    </w:p>
    <w:p>
      <w:r>
        <w:rPr>
          <w:rFonts w:ascii="等线(中文正文)" w:hAnsi="等线(中文正文)" w:cs="等线(中文正文)" w:eastAsia="等线(中文正文)"/>
          <w:b w:val="false"/>
          <w:i w:val="false"/>
          <w:sz w:val="20"/>
        </w:rPr>
        <w:t xml:space="preserve">合同负债 增长 收入 直通车 管理费用 产品结构 利润 地市基地 AI 现金流 书院培优 招生 成本 股份支付 交付 竞争 收入确认 经济下沉 区域运营改革 AR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公司近期财务报告显示，合同负债增长31.98%，主要源于产品结构优化，特别是直通车和舒远培两大长周期产品的销售增加。随着课程交付完成，预计这部分负债将逐步转化为收入。上半年，公司聚焦财富结构升级、经济下沉战略实施、区域运营改革及AI技术应用，这些措施已开始显现成效。面对挑战，公司规划下半年通过稳定业绩、AI技术赋能、产品优化及基地建设等策略应对，并对行业竞争格局表达了明确看法。同时，公司对经营性现金流下降、产品定位调整、收入确认方法变化及收款趋势等市场关切进行了回应，展现了其对未来发展的信心与规划。</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公司上半年财务与业务亮点分析</w:t>
      </w:r>
    </w:p>
    <w:p>
      <w:r>
        <w:rPr>
          <w:rFonts w:ascii="等线(中文正文)" w:hAnsi="等线(中文正文)" w:cs="等线(中文正文)" w:eastAsia="等线(中文正文)"/>
          <w:b w:val="false"/>
          <w:i w:val="false"/>
          <w:sz w:val="20"/>
        </w:rPr>
        <w:t>对话围绕公司上半年财务数据展开，指出合同负债增长源于产品结构调整，尤其是长周期产品比例增加；管理费用增长主要受员工持股计划终止影响，剔除后实际降低；利润端波动受收入下降及战略投入影响，未来有望产生收益。业务亮点包括产品结构调整、课程交付、基地铺设与AI建设战略投入，以及职工持股计划的短期影响。</w:t>
      </w:r>
    </w:p>
    <w:p>
      <w:r>
        <w:rPr>
          <w:rFonts w:ascii="等线(中文正文)" w:hAnsi="等线(中文正文)" w:cs="等线(中文正文)" w:eastAsia="等线(中文正文)"/>
          <w:b w:val="false"/>
          <w:i w:val="false"/>
          <w:sz w:val="20"/>
        </w:rPr>
        <w:t/>
      </w:r>
    </w:p>
    <w:p>
      <w:pPr>
        <w:pStyle w:val="ab"/>
        <w:numPr>
          <w:numId w:val="2"/>
        </w:numPr>
      </w:pPr>
      <w:r>
        <w:t>01:45 教育企业业绩亮点：产品升级、经济下沉与区域运营改革</w:t>
      </w:r>
    </w:p>
    <w:p>
      <w:r>
        <w:rPr>
          <w:rFonts w:ascii="等线(中文正文)" w:hAnsi="等线(中文正文)" w:cs="等线(中文正文)" w:eastAsia="等线(中文正文)"/>
          <w:b w:val="false"/>
          <w:i w:val="false"/>
          <w:sz w:val="20"/>
        </w:rPr>
        <w:t>教育企业通过升级产品结构，实现大单品战略成效显著，如考编直通车招生同比增长38%。经济下沉战略快速落地，新增34个地市交付基地，改善硬件设施，提升课程交付质量。区域运营改革推进，简化管理层级，省级骨干下沉地市，预计下半年业绩将爆发。</w:t>
      </w:r>
    </w:p>
    <w:p>
      <w:r>
        <w:rPr>
          <w:rFonts w:ascii="等线(中文正文)" w:hAnsi="等线(中文正文)" w:cs="等线(中文正文)" w:eastAsia="等线(中文正文)"/>
          <w:b w:val="false"/>
          <w:i w:val="false"/>
          <w:sz w:val="20"/>
        </w:rPr>
        <w:t/>
      </w:r>
    </w:p>
    <w:p>
      <w:pPr>
        <w:pStyle w:val="ab"/>
        <w:numPr>
          <w:numId w:val="3"/>
        </w:numPr>
      </w:pPr>
      <w:r>
        <w:t>05:21 AI技术在教育领域的应用与未来发展方向</w:t>
      </w:r>
    </w:p>
    <w:p>
      <w:r>
        <w:rPr>
          <w:rFonts w:ascii="等线(中文正文)" w:hAnsi="等线(中文正文)" w:cs="等线(中文正文)" w:eastAsia="等线(中文正文)"/>
          <w:b w:val="false"/>
          <w:i w:val="false"/>
          <w:sz w:val="20"/>
        </w:rPr>
        <w:t>公司通过AI技术在教育领域的深度应用，实现了成本结构的系统性重构，提升了教学质量和效率。AI在成本控制、质量提升及内容生产方式上的应用显著，如智能卡扣型教学、AI面试点评、AR工具等。未来，公司将通过AI技术拓展至HR模拟面试、企业管理工具、职业资格培训内容服务及跨行业评价场景，以打开第二增长曲线。</w:t>
      </w:r>
    </w:p>
    <w:p>
      <w:r>
        <w:rPr>
          <w:rFonts w:ascii="等线(中文正文)" w:hAnsi="等线(中文正文)" w:cs="等线(中文正文)" w:eastAsia="等线(中文正文)"/>
          <w:b w:val="false"/>
          <w:i w:val="false"/>
          <w:sz w:val="20"/>
        </w:rPr>
        <w:t/>
      </w:r>
    </w:p>
    <w:p>
      <w:pPr>
        <w:pStyle w:val="ab"/>
        <w:numPr>
          <w:numId w:val="4"/>
        </w:numPr>
      </w:pPr>
      <w:r>
        <w:t>09:48 经营性现金流下降原因及产品定位解析</w:t>
      </w:r>
    </w:p>
    <w:p>
      <w:r>
        <w:rPr>
          <w:rFonts w:ascii="等线(中文正文)" w:hAnsi="等线(中文正文)" w:cs="等线(中文正文)" w:eastAsia="等线(中文正文)"/>
          <w:b w:val="false"/>
          <w:i w:val="false"/>
          <w:sz w:val="20"/>
        </w:rPr>
        <w:t>对话中讨论了经营性现金流下降59.57%的原因，指出主要受招考政策影响导致收入减少，同时新增分段付费产品影响收款。此外，公司增加支付职工现金和推进地市基地建设投入，进一步影响现金流。关于直通车和书院培优产品定位，提到直通车因分段付费模式增长迅速，强调了产品营销策略的优化和行业整体波动的影响。</w:t>
      </w:r>
    </w:p>
    <w:p>
      <w:r>
        <w:rPr>
          <w:rFonts w:ascii="等线(中文正文)" w:hAnsi="等线(中文正文)" w:cs="等线(中文正文)" w:eastAsia="等线(中文正文)"/>
          <w:b w:val="false"/>
          <w:i w:val="false"/>
          <w:sz w:val="20"/>
        </w:rPr>
        <w:t/>
      </w:r>
    </w:p>
    <w:p>
      <w:pPr>
        <w:pStyle w:val="ab"/>
        <w:numPr>
          <w:numId w:val="5"/>
        </w:numPr>
      </w:pPr>
      <w:r>
        <w:t>14:01 直通车与书院产品定位及收入确认分析</w:t>
      </w:r>
    </w:p>
    <w:p>
      <w:r>
        <w:rPr>
          <w:rFonts w:ascii="等线(中文正文)" w:hAnsi="等线(中文正文)" w:cs="等线(中文正文)" w:eastAsia="等线(中文正文)"/>
          <w:b w:val="false"/>
          <w:i w:val="false"/>
          <w:sz w:val="20"/>
        </w:rPr>
        <w:t>对话围绕公务员考试培训市场背景下的直通车和书院产品定位展开，指出直通车作为战略大单品，以低价吸引大量学员，而书院则提供高端个性化教学。两产品上半年分别实现38%和5%的招生增长，显示市场认可。关于直通车产品收入确认，24年占比仅几千万，25年增至26%，26年上半年已达51%，但收入确认方法与会计师存在差异，导致去年业绩预告与实际披露利润出现1.1亿的差距，预计今年影响将更大，公司正寻求解决滞后的收入确认问题。</w:t>
      </w:r>
    </w:p>
    <w:p>
      <w:r>
        <w:rPr>
          <w:rFonts w:ascii="等线(中文正文)" w:hAnsi="等线(中文正文)" w:cs="等线(中文正文)" w:eastAsia="等线(中文正文)"/>
          <w:b w:val="false"/>
          <w:i w:val="false"/>
          <w:sz w:val="20"/>
        </w:rPr>
        <w:t/>
      </w:r>
    </w:p>
    <w:p>
      <w:pPr>
        <w:pStyle w:val="ab"/>
        <w:numPr>
          <w:numId w:val="6"/>
        </w:numPr>
      </w:pPr>
      <w:r>
        <w:t>19:31 行业拐点与竞争格局展望</w:t>
      </w:r>
    </w:p>
    <w:p>
      <w:r>
        <w:rPr>
          <w:rFonts w:ascii="等线(中文正文)" w:hAnsi="等线(中文正文)" w:cs="等线(中文正文)" w:eastAsia="等线(中文正文)"/>
          <w:b w:val="false"/>
          <w:i w:val="false"/>
          <w:sz w:val="20"/>
        </w:rPr>
        <w:t>对话围绕下半年业绩拐点及行业竞争格局变化展开，强调AI赋能、产品优化、长周期合同结算及分账服务费回收对业绩提升的关键作用，同时指出地势基地建设和行业护城河的重要性，以及小机构可能面临的进一步出清。</w:t>
      </w:r>
    </w:p>
    <w:p>
      <w:r>
        <w:rPr>
          <w:rFonts w:ascii="等线(中文正文)" w:hAnsi="等线(中文正文)" w:cs="等线(中文正文)" w:eastAsia="等线(中文正文)"/>
          <w:b w:val="false"/>
          <w:i w:val="false"/>
          <w:sz w:val="20"/>
        </w:rPr>
        <w:t/>
      </w:r>
    </w:p>
    <w:p>
      <w:pPr>
        <w:pStyle w:val="ab"/>
        <w:numPr>
          <w:numId w:val="7"/>
        </w:numPr>
      </w:pPr>
      <w:r>
        <w:t>22:39 行业趋势与政策监管对教育机构的影响分析</w:t>
      </w:r>
    </w:p>
    <w:p>
      <w:r>
        <w:rPr>
          <w:rFonts w:ascii="等线(中文正文)" w:hAnsi="等线(中文正文)" w:cs="等线(中文正文)" w:eastAsia="等线(中文正文)"/>
          <w:b w:val="false"/>
          <w:i w:val="false"/>
          <w:sz w:val="20"/>
        </w:rPr>
        <w:t>对话讨论了未来3-5年教育行业向好的趋势，包括就业难度大导致的备考热情高涨，以及工程行业中小机构增多、头部机构竞争加剧的现象。北京市出台的公考培训市场改革政策，将由教育系统监管，对大机构有利，小机构面临淘汰。AI赋能成为大机构的护城河，小机构因资金和资源限制难以跟上。</w:t>
      </w:r>
    </w:p>
    <w:p>
      <w:r>
        <w:rPr>
          <w:rFonts w:ascii="等线(中文正文)" w:hAnsi="等线(中文正文)" w:cs="等线(中文正文)" w:eastAsia="等线(中文正文)"/>
          <w:b w:val="false"/>
          <w:i w:val="false"/>
          <w:sz w:val="20"/>
        </w:rPr>
        <w:t/>
      </w:r>
    </w:p>
    <w:p>
      <w:pPr>
        <w:pStyle w:val="ab"/>
        <w:numPr>
          <w:numId w:val="8"/>
        </w:numPr>
      </w:pPr>
      <w:r>
        <w:t>26:08 公司业绩稳定与诉讼进展汇报</w:t>
      </w:r>
    </w:p>
    <w:p>
      <w:r>
        <w:rPr>
          <w:rFonts w:ascii="等线(中文正文)" w:hAnsi="等线(中文正文)" w:cs="等线(中文正文)" w:eastAsia="等线(中文正文)"/>
          <w:b w:val="false"/>
          <w:i w:val="false"/>
          <w:sz w:val="20"/>
        </w:rPr>
        <w:t>对话围绕业绩稳定策略与中小股东诉讼最新进展展开。业绩稳定通过AR优化、大单处理及历史经济建设推动实现，目标完成有信心。诉讼方面，与天津华德青及上海里程的纠纷已和解，正推进股份过户，预计九月解决，后续将发公告。公司领导总结，华东三省经营良好，行业地位稳固，上半年波动不影响长期发展。</w:t>
      </w:r>
    </w:p>
    <w:p>
      <w:r>
        <w:rPr>
          <w:rFonts w:ascii="等线(中文正文)" w:hAnsi="等线(中文正文)" w:cs="等线(中文正文)" w:eastAsia="等线(中文正文)"/>
          <w:b w:val="false"/>
          <w:i w:val="false"/>
          <w:sz w:val="20"/>
        </w:rPr>
        <w:t/>
      </w:r>
    </w:p>
    <w:p>
      <w:pPr>
        <w:pStyle w:val="a7"/>
      </w:pPr>
      <w:r>
        <w:t>发言总结</w:t>
      </w:r>
    </w:p>
    <w:p>
      <w:pPr>
        <w:pStyle w:val="ab"/>
        <w:numPr>
          <w:numId w:val="9"/>
        </w:numPr>
      </w:pPr>
      <w:r>
        <w:t>发言人1</w:t>
      </w:r>
    </w:p>
    <w:p>
      <w:r>
        <w:rPr>
          <w:rFonts w:ascii="等线(中文正文)" w:hAnsi="等线(中文正文)" w:cs="等线(中文正文)" w:eastAsia="等线(中文正文)"/>
          <w:b w:val="false"/>
          <w:i w:val="false"/>
          <w:sz w:val="20"/>
        </w:rPr>
        <w:t>首先指出公司合同负债显著增长31.98%，主要源于产品结构调整，特别是直通车和舒远培等长周期产品的增加，导致结算周期延长。发言人预计这部分负债将随课程交付转为收入。其次，管理费用上涨16.53%，但扣除一次性股份支付后实际下降1.31%。利润受收入同比下降及招考政策变化、战略投入影响而下滑。公司上半年实现了财富结构升级，转向学科制教学，考编直通车等产品取得38%的招生增长，经济下沉战略迅速实施，覆盖300多个地市。发言人强调，下半年将利用AI等手段探索新增长点，稳定业绩并实现目标。同时，发言人回应了中小股东诉讼及行业竞争变化问题，展现了对公司未来发展充满信心的态度。</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问：合同负债增长的原因是什么？管理费用增长了16.53%的原因是什么？</w:t>
      </w:r>
    </w:p>
    <w:p>
      <w:r>
        <w:rPr>
          <w:rFonts w:ascii="等线(中文正文)" w:hAnsi="等线(中文正文)" w:cs="等线(中文正文)" w:eastAsia="等线(中文正文)"/>
          <w:b w:val="false"/>
          <w:i w:val="false"/>
          <w:sz w:val="20"/>
        </w:rPr>
        <w:t>发言人1 答：合同负债增长了31.98%，主要原因是我们产品结构的调整，今年直通车和舒远培两个长周期产品的比例增加，实收比例提高且结算周期较长，导致合同负债余额增加。预计未来随着课程交付完成，这部分合同负债会全部转化为收入。管理费用增长受员工持股计划终止产生的一次性股份支付影响。若剔除这一影响，实际管理费用实际上是降低了1.31%。利润端波动主要由于收入同比下降（受到招考周期和战略性投入的影响）以及职工持股计划产生的5463万股份支付。这些投入在未来会产生一部分收益。</w:t>
      </w:r>
    </w:p>
    <w:p>
      <w:r>
        <w:rPr>
          <w:rFonts w:ascii="等线(中文正文)" w:hAnsi="等线(中文正文)" w:cs="等线(中文正文)" w:eastAsia="等线(中文正文)"/>
          <w:b w:val="false"/>
          <w:i w:val="false"/>
          <w:sz w:val="20"/>
        </w:rPr>
        <w:t/>
      </w:r>
    </w:p>
    <w:p>
      <w:pPr>
        <w:pStyle w:val="ab"/>
      </w:pPr>
      <w:r>
        <w:t>发言人1 问：上半年公司业务的核心亮点有哪些？</w:t>
      </w:r>
    </w:p>
    <w:p>
      <w:r>
        <w:rPr>
          <w:rFonts w:ascii="等线(中文正文)" w:hAnsi="等线(中文正文)" w:cs="等线(中文正文)" w:eastAsia="等线(中文正文)"/>
          <w:b w:val="false"/>
          <w:i w:val="false"/>
          <w:sz w:val="20"/>
        </w:rPr>
        <w:t>发言人1 答：核心亮点有四个方面：一是财富结构已完成升级，大单品战略初见成效，尤其是考编直通车招生达到2万人，同比增长38%；二是高端产品的收益有所增长，产品结构优化；三是经济下沉战略快速落地，培训交付主场景向三四线城市倾斜，新增了34个地市交付基地，提升了长周期产品的交付质量和竞争力；四是区域运营改革全面推进，减少了层级管理，提升了决策效率，省级核心管理骨干下沉到地市，成为业绩爆发引擎。</w:t>
      </w:r>
    </w:p>
    <w:p>
      <w:r>
        <w:rPr>
          <w:rFonts w:ascii="等线(中文正文)" w:hAnsi="等线(中文正文)" w:cs="等线(中文正文)" w:eastAsia="等线(中文正文)"/>
          <w:b w:val="false"/>
          <w:i w:val="false"/>
          <w:sz w:val="20"/>
        </w:rPr>
        <w:t/>
      </w:r>
    </w:p>
    <w:p>
      <w:pPr>
        <w:pStyle w:val="ab"/>
      </w:pPr>
      <w:r>
        <w:t>发言人1 问：AI投入如何转化为经营成果？</w:t>
      </w:r>
    </w:p>
    <w:p>
      <w:r>
        <w:rPr>
          <w:rFonts w:ascii="等线(中文正文)" w:hAnsi="等线(中文正文)" w:cs="等线(中文正文)" w:eastAsia="等线(中文正文)"/>
          <w:b w:val="false"/>
          <w:i w:val="false"/>
          <w:sz w:val="20"/>
        </w:rPr>
        <w:t>发言人1 答：AI投入在成本端重构了成本结构，系统完成预判，提高教学效率并降低排放率；在质量端，形成评价能力闭环，AI智能批改覆盖全国32个省份分校，评卷质量达到专家级水平；在生产端，华图已实现3种AR内容生成方式，极大提升了内容生产和便捷性，同时降低了成本。AI还助力一线员工工作效率提升，招生转化率提高约13%-15%。</w:t>
      </w:r>
    </w:p>
    <w:p>
      <w:r>
        <w:rPr>
          <w:rFonts w:ascii="等线(中文正文)" w:hAnsi="等线(中文正文)" w:cs="等线(中文正文)" w:eastAsia="等线(中文正文)"/>
          <w:b w:val="false"/>
          <w:i w:val="false"/>
          <w:sz w:val="20"/>
        </w:rPr>
        <w:t/>
      </w:r>
    </w:p>
    <w:p>
      <w:pPr>
        <w:pStyle w:val="ab"/>
      </w:pPr>
      <w:r>
        <w:t>发言人1 问：下一步公司计划通过AI打开第二增长曲线的路线有哪些？</w:t>
      </w:r>
    </w:p>
    <w:p>
      <w:r>
        <w:rPr>
          <w:rFonts w:ascii="等线(中文正文)" w:hAnsi="等线(中文正文)" w:cs="等线(中文正文)" w:eastAsia="等线(中文正文)"/>
          <w:b w:val="false"/>
          <w:i w:val="false"/>
          <w:sz w:val="20"/>
        </w:rPr>
        <w:t>发言人1 答：公司计划通过四条路线来打开第二增长曲线：一是通过AR面试评价能力延伸到HR模拟面试，覆盖数千万应届生与职场人的招聘市场；二是AI模拟面试管理工具为企业提供SaaS服务；三是利用AI内容生产能力扩展到职业资格培训和产业培训内容服务；四是AR评价能力延展至人才测评、技能认证等跨行业的评价场景。</w:t>
      </w:r>
    </w:p>
    <w:p>
      <w:r>
        <w:rPr>
          <w:rFonts w:ascii="等线(中文正文)" w:hAnsi="等线(中文正文)" w:cs="等线(中文正文)" w:eastAsia="等线(中文正文)"/>
          <w:b w:val="false"/>
          <w:i w:val="false"/>
          <w:sz w:val="20"/>
        </w:rPr>
        <w:t/>
      </w:r>
    </w:p>
    <w:p>
      <w:pPr>
        <w:pStyle w:val="ab"/>
      </w:pPr>
      <w:r>
        <w:t>发言人1 问：那么，支付其他经营性活动有关的现金增长的原因是什么？</w:t>
      </w:r>
    </w:p>
    <w:p>
      <w:r>
        <w:rPr>
          <w:rFonts w:ascii="等线(中文正文)" w:hAnsi="等线(中文正文)" w:cs="等线(中文正文)" w:eastAsia="等线(中文正文)"/>
          <w:b w:val="false"/>
          <w:i w:val="false"/>
          <w:sz w:val="20"/>
        </w:rPr>
        <w:t>发言人1 答：支付其他经营性活动有关的现金增长主要是公司主动推进区域运营改革和下沉地市基地建设战略性的投入。目前，公司已在130多个地市建立了基地，随着基地规模扩大，房租押金等相关费用有所增加。</w:t>
      </w:r>
    </w:p>
    <w:p>
      <w:r>
        <w:rPr>
          <w:rFonts w:ascii="等线(中文正文)" w:hAnsi="等线(中文正文)" w:cs="等线(中文正文)" w:eastAsia="等线(中文正文)"/>
          <w:b w:val="false"/>
          <w:i w:val="false"/>
          <w:sz w:val="20"/>
        </w:rPr>
        <w:t/>
      </w:r>
    </w:p>
    <w:p>
      <w:pPr>
        <w:pStyle w:val="ab"/>
      </w:pPr>
      <w:r>
        <w:t>发言人1 问：关于直通车和书院产品的定位以及增长快速的原因是什么？</w:t>
      </w:r>
    </w:p>
    <w:p>
      <w:r>
        <w:rPr>
          <w:rFonts w:ascii="等线(中文正文)" w:hAnsi="等线(中文正文)" w:cs="等线(中文正文)" w:eastAsia="等线(中文正文)"/>
          <w:b w:val="false"/>
          <w:i w:val="false"/>
          <w:sz w:val="20"/>
        </w:rPr>
        <w:t>发言人1 答：在当前公务员报考竞争激烈、整体通过率较低的背景下，长周期培训产品的需求增加。直通车产品作为战略大单品，以低价策略吸引学员，而书院培优则提供个性化教学服务。从上半年实践来看，这两个产品在市场上具有较强竞争力，其中直通车招生人数增长了38%，书院培优增长了5%。</w:t>
      </w:r>
    </w:p>
    <w:p>
      <w:r>
        <w:rPr>
          <w:rFonts w:ascii="等线(中文正文)" w:hAnsi="等线(中文正文)" w:cs="等线(中文正文)" w:eastAsia="等线(中文正文)"/>
          <w:b w:val="false"/>
          <w:i w:val="false"/>
          <w:sz w:val="20"/>
        </w:rPr>
        <w:t/>
      </w:r>
    </w:p>
    <w:p>
      <w:pPr>
        <w:pStyle w:val="ab"/>
      </w:pPr>
      <w:r>
        <w:t>发言人1 问：直通车产品当前占公司收入及利润比重如何？后续会计确认收入的规则是否有调整？</w:t>
      </w:r>
    </w:p>
    <w:p>
      <w:r>
        <w:rPr>
          <w:rFonts w:ascii="等线(中文正文)" w:hAnsi="等线(中文正文)" w:cs="等线(中文正文)" w:eastAsia="等线(中文正文)"/>
          <w:b w:val="false"/>
          <w:i w:val="false"/>
          <w:sz w:val="20"/>
        </w:rPr>
        <w:t>发言人1 答：直通车产品近年来发展迅速，从24年开始占总收入比例为几千万，到25年增长到26%个多亿，而今年上半年已占到51%。关于收入确认规则，去年年底公司按照实际消耗确认收入，但与会计师根据合同周期同比例确认的收入存在差距。今年，随着直通车产品收入占比提高，公司面临的收入确认逻辑仍然是按照直线判销法来确认，这可能导致与去年相似的收入确认后的问题。不过，随着产品收入逐日增加，对公司的经营影响将逐渐减少。</w:t>
      </w:r>
    </w:p>
    <w:p>
      <w:r>
        <w:rPr>
          <w:rFonts w:ascii="等线(中文正文)" w:hAnsi="等线(中文正文)" w:cs="等线(中文正文)" w:eastAsia="等线(中文正文)"/>
          <w:b w:val="false"/>
          <w:i w:val="false"/>
          <w:sz w:val="20"/>
        </w:rPr>
        <w:t/>
      </w:r>
    </w:p>
    <w:p>
      <w:pPr>
        <w:pStyle w:val="ab"/>
      </w:pPr>
      <w:r>
        <w:t>发言人1 问：下半年预计何时能够看到收款向上的拐点，以及今年环境中小机构是否有进一步出清？</w:t>
      </w:r>
    </w:p>
    <w:p>
      <w:r>
        <w:rPr>
          <w:rFonts w:ascii="等线(中文正文)" w:hAnsi="等线(中文正文)" w:cs="等线(中文正文)" w:eastAsia="等线(中文正文)"/>
          <w:b w:val="false"/>
          <w:i w:val="false"/>
          <w:sz w:val="20"/>
        </w:rPr>
        <w:t>发言人1 答：这个问题需要进一步观察市场动态和公司财务状况的变化来判断收款何时出现向上拐点，同时也会关注行业中小机构的市场出清情况。</w:t>
      </w:r>
    </w:p>
    <w:p>
      <w:r>
        <w:rPr>
          <w:rFonts w:ascii="等线(中文正文)" w:hAnsi="等线(中文正文)" w:cs="等线(中文正文)" w:eastAsia="等线(中文正文)"/>
          <w:b w:val="false"/>
          <w:i w:val="false"/>
          <w:sz w:val="20"/>
        </w:rPr>
        <w:t/>
      </w:r>
    </w:p>
    <w:p>
      <w:pPr>
        <w:pStyle w:val="ab"/>
      </w:pPr>
      <w:r>
        <w:t>发言人1 问：首先说一下我们整个下半年的整体考量，以及在业绩压力下，公司有哪些应对策略？</w:t>
      </w:r>
    </w:p>
    <w:p>
      <w:r>
        <w:rPr>
          <w:rFonts w:ascii="等线(中文正文)" w:hAnsi="等线(中文正文)" w:cs="等线(中文正文)" w:eastAsia="等线(中文正文)"/>
          <w:b w:val="false"/>
          <w:i w:val="false"/>
          <w:sz w:val="20"/>
        </w:rPr>
        <w:t>发言人1 答：下半年，我们主要基于上半年业绩的压力进行了整体考量。公司董事长吴振刚老师，以其丰富的经验和独特的方法论，将带领我们在几个关键方面进行改革和提升。从人员角度，吴总作为有多年实战经验的领导者，将发挥重要作用。从社会角度看，下半年有四大重点：一是AI赋能产品端和管理端将逐步显现成效并放大；二是我们将重新包装和深化两款极致单品，以确保客户满意度；三是加强地势基地建设，稳固行业护城河；四是确保长周期产品的收入确认至年底，尤其是吸取去年经验教训，锁定年底合同结算。</w:t>
      </w:r>
    </w:p>
    <w:p>
      <w:r>
        <w:rPr>
          <w:rFonts w:ascii="等线(中文正文)" w:hAnsi="等线(中文正文)" w:cs="等线(中文正文)" w:eastAsia="等线(中文正文)"/>
          <w:b w:val="false"/>
          <w:i w:val="false"/>
          <w:sz w:val="20"/>
        </w:rPr>
        <w:t/>
      </w:r>
    </w:p>
    <w:p>
      <w:pPr>
        <w:pStyle w:val="ab"/>
      </w:pPr>
      <w:r>
        <w:t>发言人1 问：下半年如何稳定业绩，能否达到预计的业绩目标？</w:t>
      </w:r>
    </w:p>
    <w:p>
      <w:r>
        <w:rPr>
          <w:rFonts w:ascii="等线(中文正文)" w:hAnsi="等线(中文正文)" w:cs="等线(中文正文)" w:eastAsia="等线(中文正文)"/>
          <w:b w:val="false"/>
          <w:i w:val="false"/>
          <w:sz w:val="20"/>
        </w:rPr>
        <w:t>发言人1 答：我们对下半年业绩稳定充满信心，已采取多项措施以确保达成预定目标。首先，AR业务已取得显著成效，初步解除相关问题的影响；其次，及时跟进并完成了两个大单项目，为业绩增长奠定了基础；再者，积极推动历史经济建设，预计今年可以实现180至200个地势基地的建设目标，而这些基地的建立将有力地推动业绩上升。</w:t>
      </w:r>
    </w:p>
    <w:p>
      <w:r>
        <w:rPr>
          <w:rFonts w:ascii="等线(中文正文)" w:hAnsi="等线(中文正文)" w:cs="等线(中文正文)" w:eastAsia="等线(中文正文)"/>
          <w:b w:val="false"/>
          <w:i w:val="false"/>
          <w:sz w:val="20"/>
        </w:rPr>
        <w:t/>
      </w:r>
    </w:p>
    <w:p>
      <w:pPr>
        <w:pStyle w:val="ab"/>
      </w:pPr>
      <w:r>
        <w:t>发言人1 问：公司中小股东诉讼的最新进展如何？</w:t>
      </w:r>
    </w:p>
    <w:p>
      <w:r>
        <w:rPr>
          <w:rFonts w:ascii="等线(中文正文)" w:hAnsi="等线(中文正文)" w:cs="等线(中文正文)" w:eastAsia="等线(中文正文)"/>
          <w:b w:val="false"/>
          <w:i w:val="false"/>
          <w:sz w:val="20"/>
        </w:rPr>
        <w:t>发言人1 答：中小股东诉讼方面，有两个层面的问题：一是华佗弘扬及其关联方因投资兜底问题与部分机构存在诉讼，但这些问题已在天津华资企业和华东弘扬层面达成了和解，并签署了相关和解书，后续将进行股份过户操作，预计九月份可以解决此部分问题；二是华东弘扬层面涉及的中小股东诉讼，由于股权尚未解决，目前仍在处理阶段，但进展顺利，一旦完成相关手续，也会及时发布公告告知投资者。</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2026-08-26T14:15:36Z</dcterms:created>
  <dc:creator>Apache POI</dc:creator>
</cp:coreProperties>
</file>