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固德电材 260825_导读</w:t>
      </w:r>
    </w:p>
    <w:p>
      <w:pPr>
        <w:pStyle w:val="a0"/>
        <w:jc w:val="center"/>
      </w:pPr>
      <w:r>
        <w:t>2026年08月26日 09:38</w:t>
      </w:r>
    </w:p>
    <w:p>
      <w:pPr>
        <w:pStyle w:val="a7"/>
      </w:pPr>
      <w:r>
        <w:t>关键词</w:t>
      </w:r>
    </w:p>
    <w:p>
      <w:r>
        <w:rPr>
          <w:rFonts w:ascii="等线(中文正文)" w:hAnsi="等线(中文正文)" w:cs="等线(中文正文)" w:eastAsia="等线(中文正文)"/>
          <w:b w:val="false"/>
          <w:i w:val="false"/>
          <w:sz w:val="20"/>
        </w:rPr>
        <w:t xml:space="preserve">半年报 固德电材 朱国来 铜铝复合材料 新能源汽车 毛利率 ROE 资产负债率 现金周转率 资本性支出 AI AIDC 高压直流电 管理费用 销售费用 财务费用 燃气轮机 绝缘材料 云母带 固态变压器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最近举行的电话会议中，公司高管团队与分析师们共同探讨了固德电材2026年半年度的运营情况。会议指出，公司业绩显著提升，其中收入同比增长90%，净利润增长超过50%。讨论涵盖了公司的三大业务板块：电力电工绝缘产品、新能源汽车S控制器防护业务以及铜铝复合材料，各业务板块均展现出积极的发展态势和广阔的未来前景。特别地，固德电材在AI数据中心（AIDC）领域的潜在新机遇和产能扩张计划成为会议亮点。公司创始人强调了从材料到部件，再到解决方案的战略转变，展现了对未来发展坚定的信心和对增长潜力的乐观预期。总结而言，会议聚焦于公司战略方向、基础保障、管理基础的重要性，以及在正确方向下持续增长的决心。</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公司业绩与战略更新电话会议</w:t>
      </w:r>
    </w:p>
    <w:p>
      <w:r>
        <w:rPr>
          <w:rFonts w:ascii="等线(中文正文)" w:hAnsi="等线(中文正文)" w:cs="等线(中文正文)" w:eastAsia="等线(中文正文)"/>
          <w:b w:val="false"/>
          <w:i w:val="false"/>
          <w:sz w:val="20"/>
        </w:rPr>
        <w:t>会议围绕公司出色的半年报业绩展开，重点讨论了二季度收入与净利润的显著增长，以及铜铝复合材料业务的爆发式发展。管理层分享了公司战略与经营更新，随后进入问答环节，最后由公司高层做总结与未来展望。</w:t>
      </w:r>
    </w:p>
    <w:p>
      <w:r>
        <w:rPr>
          <w:rFonts w:ascii="等线(中文正文)" w:hAnsi="等线(中文正文)" w:cs="等线(中文正文)" w:eastAsia="等线(中文正文)"/>
          <w:b w:val="false"/>
          <w:i w:val="false"/>
          <w:sz w:val="20"/>
        </w:rPr>
        <w:t/>
      </w:r>
    </w:p>
    <w:p>
      <w:pPr>
        <w:pStyle w:val="ab"/>
        <w:numPr>
          <w:numId w:val="2"/>
        </w:numPr>
      </w:pPr>
      <w:r>
        <w:t>01:10 固德电材2020年半年度业绩与业务板块分析</w:t>
      </w:r>
    </w:p>
    <w:p>
      <w:r>
        <w:rPr>
          <w:rFonts w:ascii="等线(中文正文)" w:hAnsi="等线(中文正文)" w:cs="等线(中文正文)" w:eastAsia="等线(中文正文)"/>
          <w:b w:val="false"/>
          <w:i w:val="false"/>
          <w:sz w:val="20"/>
        </w:rPr>
        <w:t>介绍了固德电材2020年半年度销售额同比增长46%，达到7.7亿。电力电工绝缘产品同比增长27%，毛利率34.48%；新能源汽车S控防护业务受补贴取消影响下滑，但二季度已趋稳并反弹，毛利率提升至36.13%；铜铝复合材料作为第二增长曲线，上半年销售额2.3亿，同比增长1100%，毛利率25%。</w:t>
      </w:r>
    </w:p>
    <w:p>
      <w:r>
        <w:rPr>
          <w:rFonts w:ascii="等线(中文正文)" w:hAnsi="等线(中文正文)" w:cs="等线(中文正文)" w:eastAsia="等线(中文正文)"/>
          <w:b w:val="false"/>
          <w:i w:val="false"/>
          <w:sz w:val="20"/>
        </w:rPr>
        <w:t/>
      </w:r>
    </w:p>
    <w:p>
      <w:pPr>
        <w:pStyle w:val="ab"/>
        <w:numPr>
          <w:numId w:val="3"/>
        </w:numPr>
      </w:pPr>
      <w:r>
        <w:t>08:53 铜铝复合材料公司财务与经营分析</w:t>
      </w:r>
    </w:p>
    <w:p>
      <w:r>
        <w:rPr>
          <w:rFonts w:ascii="等线(中文正文)" w:hAnsi="等线(中文正文)" w:cs="等线(中文正文)" w:eastAsia="等线(中文正文)"/>
          <w:b w:val="false"/>
          <w:i w:val="false"/>
          <w:sz w:val="20"/>
        </w:rPr>
        <w:t>公司主营业务稳健增长，铜铝废料销售带来额外收入。销售费用占比下降，管理与研发费用随业务增长而增加，财务费用因汇率变动转正。上半年净利润1.1亿，同比增长36.82%，归母扣非利润增长24.79%，子公司股权比例提升将缩小净利润与归母扣非利润差额。</w:t>
      </w:r>
    </w:p>
    <w:p>
      <w:r>
        <w:rPr>
          <w:rFonts w:ascii="等线(中文正文)" w:hAnsi="等线(中文正文)" w:cs="等线(中文正文)" w:eastAsia="等线(中文正文)"/>
          <w:b w:val="false"/>
          <w:i w:val="false"/>
          <w:sz w:val="20"/>
        </w:rPr>
        <w:t/>
      </w:r>
    </w:p>
    <w:p>
      <w:pPr>
        <w:pStyle w:val="ab"/>
        <w:numPr>
          <w:numId w:val="4"/>
        </w:numPr>
      </w:pPr>
      <w:r>
        <w:t>12:50 关键财务指标分析与公司经营状况</w:t>
      </w:r>
    </w:p>
    <w:p>
      <w:r>
        <w:rPr>
          <w:rFonts w:ascii="等线(中文正文)" w:hAnsi="等线(中文正文)" w:cs="等线(中文正文)" w:eastAsia="等线(中文正文)"/>
          <w:b w:val="false"/>
          <w:i w:val="false"/>
          <w:sz w:val="20"/>
        </w:rPr>
        <w:t>对话详细分析了公司关键财务指标，包括ROE、ROIC、现金周转率及资产负债率等。尽管上市后净资产收益率短期内有所下降，但公司对长期增长充满信心。投入回报比（ROIC）表现优秀，显示公司在产品竞争力、经营效率、战略远见及智力水平上的优势。现金周转周期较短，表明资金利用效率高。此外，公司资产负债率低，现金储备充足，抗风险能力强，为未来资本性支出提供了坚实保障。</w:t>
      </w:r>
    </w:p>
    <w:p>
      <w:r>
        <w:rPr>
          <w:rFonts w:ascii="等线(中文正文)" w:hAnsi="等线(中文正文)" w:cs="等线(中文正文)" w:eastAsia="等线(中文正文)"/>
          <w:b w:val="false"/>
          <w:i w:val="false"/>
          <w:sz w:val="20"/>
        </w:rPr>
        <w:t/>
      </w:r>
    </w:p>
    <w:p>
      <w:pPr>
        <w:pStyle w:val="ab"/>
        <w:numPr>
          <w:numId w:val="5"/>
        </w:numPr>
      </w:pPr>
      <w:r>
        <w:t>19:06 二季度业绩增长与AI数据中心机遇</w:t>
      </w:r>
    </w:p>
    <w:p>
      <w:r>
        <w:rPr>
          <w:rFonts w:ascii="等线(中文正文)" w:hAnsi="等线(中文正文)" w:cs="等线(中文正文)" w:eastAsia="等线(中文正文)"/>
          <w:b w:val="false"/>
          <w:i w:val="false"/>
          <w:sz w:val="20"/>
        </w:rPr>
        <w:t>对话围绕公司二季度业绩增长及AI数据中心带来的新机遇展开，指出销售额和净利润均实现高速增长，特别是AI数据中心建设中高压直流供电路径的发展，为公司带来燃气能机、固态变压器、直流储能及母线供电四大机遇。</w:t>
      </w:r>
    </w:p>
    <w:p>
      <w:r>
        <w:rPr>
          <w:rFonts w:ascii="等线(中文正文)" w:hAnsi="等线(中文正文)" w:cs="等线(中文正文)" w:eastAsia="等线(中文正文)"/>
          <w:b w:val="false"/>
          <w:i w:val="false"/>
          <w:sz w:val="20"/>
        </w:rPr>
        <w:t/>
      </w:r>
    </w:p>
    <w:p>
      <w:pPr>
        <w:pStyle w:val="ab"/>
        <w:numPr>
          <w:numId w:val="6"/>
        </w:numPr>
      </w:pPr>
      <w:r>
        <w:t>24:32 新能源与AIDC带来的绝缘材料新机遇</w:t>
      </w:r>
    </w:p>
    <w:p>
      <w:r>
        <w:rPr>
          <w:rFonts w:ascii="等线(中文正文)" w:hAnsi="等线(中文正文)" w:cs="等线(中文正文)" w:eastAsia="等线(中文正文)"/>
          <w:b w:val="false"/>
          <w:i w:val="false"/>
          <w:sz w:val="20"/>
        </w:rPr>
        <w:t>对话讨论了燃气轮机、AIDC数据中心母线和SST变压器三大领域中绝缘材料的应用与市场潜力，强调了AIDC高压直流化、新能源汽车新国标以及储能技术进步带来的业务增长机遇。此外，海外市场需求，尤其是北美电动车市场的复苏，也为公司业务拓展提供了利好条件。预计未来几年内，这些领域将带来显著的业务增长和较高的毛利。</w:t>
      </w:r>
    </w:p>
    <w:p>
      <w:r>
        <w:rPr>
          <w:rFonts w:ascii="等线(中文正文)" w:hAnsi="等线(中文正文)" w:cs="等线(中文正文)" w:eastAsia="等线(中文正文)"/>
          <w:b w:val="false"/>
          <w:i w:val="false"/>
          <w:sz w:val="20"/>
        </w:rPr>
        <w:t/>
      </w:r>
    </w:p>
    <w:p>
      <w:pPr>
        <w:pStyle w:val="ab"/>
        <w:numPr>
          <w:numId w:val="7"/>
        </w:numPr>
      </w:pPr>
      <w:r>
        <w:t>31:04 IPO资金助力产能扩张，布局锂电池新材料市场</w:t>
      </w:r>
    </w:p>
    <w:p>
      <w:r>
        <w:rPr>
          <w:rFonts w:ascii="等线(中文正文)" w:hAnsi="等线(中文正文)" w:cs="等线(中文正文)" w:eastAsia="等线(中文正文)"/>
          <w:b w:val="false"/>
          <w:i w:val="false"/>
          <w:sz w:val="20"/>
        </w:rPr>
        <w:t>IPO募集11亿资金，用于广东汕尾和苏州工厂扩展，预计未来2-3年产能和市场将显著增长。公司积极布局锂电池负极材料市场，预测至2030年，锂电池负极材料市场总规模可达135亿至170亿，储能市场3万吨需求，对应27亿市场。此外，三明治结构母排替代传统铜材料，预计7.2万吨市场，销售额64亿8。公司目标至2030年占据30%-40%市场份额，销售额超大几十亿。</w:t>
      </w:r>
    </w:p>
    <w:p>
      <w:r>
        <w:rPr>
          <w:rFonts w:ascii="等线(中文正文)" w:hAnsi="等线(中文正文)" w:cs="等线(中文正文)" w:eastAsia="等线(中文正文)"/>
          <w:b w:val="false"/>
          <w:i w:val="false"/>
          <w:sz w:val="20"/>
        </w:rPr>
        <w:t/>
      </w:r>
    </w:p>
    <w:p>
      <w:pPr>
        <w:pStyle w:val="ab"/>
        <w:numPr>
          <w:numId w:val="8"/>
        </w:numPr>
      </w:pPr>
      <w:r>
        <w:t>35:23 公司业绩与增长策略解析</w:t>
      </w:r>
    </w:p>
    <w:p>
      <w:r>
        <w:rPr>
          <w:rFonts w:ascii="等线(中文正文)" w:hAnsi="等线(中文正文)" w:cs="等线(中文正文)" w:eastAsia="等线(中文正文)"/>
          <w:b w:val="false"/>
          <w:i w:val="false"/>
          <w:sz w:val="20"/>
        </w:rPr>
        <w:t>会议详细介绍了公司业绩、市场地位及未来增长策略，包括第二、第三增长曲线的布局，以及AIDC带来的机遇。通过与同行对比，分析了公司当前市值、PE倍率及未来增长潜力，认为股价存在低估。总结了公司增长速度快、安全性高及未来有新赛道三大特点。</w:t>
      </w:r>
    </w:p>
    <w:p>
      <w:r>
        <w:rPr>
          <w:rFonts w:ascii="等线(中文正文)" w:hAnsi="等线(中文正文)" w:cs="等线(中文正文)" w:eastAsia="等线(中文正文)"/>
          <w:b w:val="false"/>
          <w:i w:val="false"/>
          <w:sz w:val="20"/>
        </w:rPr>
        <w:t/>
      </w:r>
    </w:p>
    <w:p>
      <w:pPr>
        <w:pStyle w:val="ab"/>
        <w:numPr>
          <w:numId w:val="9"/>
        </w:numPr>
      </w:pPr>
      <w:r>
        <w:t>43:00 新材料公司发展战略与未来增长点探讨</w:t>
      </w:r>
    </w:p>
    <w:p>
      <w:r>
        <w:rPr>
          <w:rFonts w:ascii="等线(中文正文)" w:hAnsi="等线(中文正文)" w:cs="等线(中文正文)" w:eastAsia="等线(中文正文)"/>
          <w:b w:val="false"/>
          <w:i w:val="false"/>
          <w:sz w:val="20"/>
        </w:rPr>
        <w:t>讨论了新材料公司在绝缘、热防护及导电材料领域的能力编辑与产品协同，强调了电动车和储能行业作为新方向的重要性。分析了公司选择新项目时考虑的行业趋势和产品替代性，预测了未来可能的第三增长曲线，包括纤维类纳米密度板和AIDC领域的绝缘与导通材料，展示了公司在新材料领域的战略规划与市场前景。</w:t>
      </w:r>
    </w:p>
    <w:p>
      <w:r>
        <w:rPr>
          <w:rFonts w:ascii="等线(中文正文)" w:hAnsi="等线(中文正文)" w:cs="等线(中文正文)" w:eastAsia="等线(中文正文)"/>
          <w:b w:val="false"/>
          <w:i w:val="false"/>
          <w:sz w:val="20"/>
        </w:rPr>
        <w:t/>
      </w:r>
    </w:p>
    <w:p>
      <w:pPr>
        <w:pStyle w:val="ab"/>
        <w:numPr>
          <w:numId w:val="10"/>
        </w:numPr>
      </w:pPr>
      <w:r>
        <w:t>48:35 AIDC领域发展与母线绝缘材料市场前景</w:t>
      </w:r>
    </w:p>
    <w:p>
      <w:r>
        <w:rPr>
          <w:rFonts w:ascii="等线(中文正文)" w:hAnsi="等线(中文正文)" w:cs="等线(中文正文)" w:eastAsia="等线(中文正文)"/>
          <w:b w:val="false"/>
          <w:i w:val="false"/>
          <w:sz w:val="20"/>
        </w:rPr>
        <w:t>讨论了AIDC领域内母线、燃气轮机和SAT三个方向的发展潜力，认为母线绝缘材料最快实现规模化应用，尤其是在东南亚市场。介绍了与全球大厂合作的客户验证和送样进展，强调长期战略合作伙伴关系。预祝公司在AIDC领域快速成长，同时感谢分享并给予其他同事和投资者提问机会。</w:t>
      </w:r>
    </w:p>
    <w:p>
      <w:r>
        <w:rPr>
          <w:rFonts w:ascii="等线(中文正文)" w:hAnsi="等线(中文正文)" w:cs="等线(中文正文)" w:eastAsia="等线(中文正文)"/>
          <w:b w:val="false"/>
          <w:i w:val="false"/>
          <w:sz w:val="20"/>
        </w:rPr>
        <w:t/>
      </w:r>
    </w:p>
    <w:p>
      <w:pPr>
        <w:pStyle w:val="ab"/>
        <w:numPr>
          <w:numId w:val="11"/>
        </w:numPr>
      </w:pPr>
      <w:r>
        <w:t>52:39 IDC业务增长规划与战略转型</w:t>
      </w:r>
    </w:p>
    <w:p>
      <w:r>
        <w:rPr>
          <w:rFonts w:ascii="等线(中文正文)" w:hAnsi="等线(中文正文)" w:cs="等线(中文正文)" w:eastAsia="等线(中文正文)"/>
          <w:b w:val="false"/>
          <w:i w:val="false"/>
          <w:sz w:val="20"/>
        </w:rPr>
        <w:t>对话围绕IDC业务的中长期规划展开，提及未来营收目标达4到5亿，重点布局母排、燃气轮机、SST及储能隔日业务。毛利率预计高于传统业务，IDC业务将从材料供应商转型至部件与解决方案提供商，强调材料到部件再到设计服务的战略定位。</w:t>
      </w:r>
    </w:p>
    <w:p>
      <w:r>
        <w:rPr>
          <w:rFonts w:ascii="等线(中文正文)" w:hAnsi="等线(中文正文)" w:cs="等线(中文正文)" w:eastAsia="等线(中文正文)"/>
          <w:b w:val="false"/>
          <w:i w:val="false"/>
          <w:sz w:val="20"/>
        </w:rPr>
        <w:t/>
      </w:r>
    </w:p>
    <w:p>
      <w:pPr>
        <w:pStyle w:val="ab"/>
        <w:numPr>
          <w:numId w:val="12"/>
        </w:numPr>
      </w:pPr>
      <w:r>
        <w:t>58:11 铜铝复合材料产能与盈利能力分析</w:t>
      </w:r>
    </w:p>
    <w:p>
      <w:r>
        <w:rPr>
          <w:rFonts w:ascii="等线(中文正文)" w:hAnsi="等线(中文正文)" w:cs="等线(中文正文)" w:eastAsia="等线(中文正文)"/>
          <w:b w:val="false"/>
          <w:i w:val="false"/>
          <w:sz w:val="20"/>
        </w:rPr>
        <w:t>对话围绕铜铝复合材料的产能利用、下半年订单能见度及盈利能力展开。上半年收入爆发式增长，下半年产能稳定在每月1000吨以上，四季度有望超过1000吨，全年销售额预计8-9亿。未来产能可达2万吨，处于行业同步水平。高倍率充电的左中右结构产品毛利率较高，若需求增加，毛利率有望进一步提升。</w:t>
      </w:r>
    </w:p>
    <w:p>
      <w:r>
        <w:rPr>
          <w:rFonts w:ascii="等线(中文正文)" w:hAnsi="等线(中文正文)" w:cs="等线(中文正文)" w:eastAsia="等线(中文正文)"/>
          <w:b w:val="false"/>
          <w:i w:val="false"/>
          <w:sz w:val="20"/>
        </w:rPr>
        <w:t/>
      </w:r>
    </w:p>
    <w:p>
      <w:pPr>
        <w:pStyle w:val="ab"/>
        <w:numPr>
          <w:numId w:val="13"/>
        </w:numPr>
      </w:pPr>
      <w:r>
        <w:t>01:01:13 汽车热防护与热失控市场分析及未来展望</w:t>
      </w:r>
    </w:p>
    <w:p>
      <w:r>
        <w:rPr>
          <w:rFonts w:ascii="等线(中文正文)" w:hAnsi="等线(中文正文)" w:cs="等线(中文正文)" w:eastAsia="等线(中文正文)"/>
          <w:b w:val="false"/>
          <w:i w:val="false"/>
          <w:sz w:val="20"/>
        </w:rPr>
        <w:t>讨论了北美汽车市场中热防护和热失控领域的订单企稳回升情况，重点提及特斯拉、Uber、丰田等客户的显著增长，以及电动车转型带来的新机遇。强调了公司从材料到解决方案的综合能力，通过精细化管理和数字化转型提升效率，押注电动车和AIDC高压直流化战略方向，展望未来市场增长和企业稳健发展。</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主持的电话会议主要聚焦于中金公司汽车及电信团队对固德电材的半年度业绩分析和未来展望。固德电材创始人和董事长朱国来首先介绍了公司2026年半年度的强劲财务表现和业务进展，指出二季度收入同比增长90%，净利润增长超过50%，特别强调了铜铝复合材料收入的爆发式增长和新业务方向的积极进展。会议内容分为三个部分：管理层更新分享、Q&amp;A环节及朱总的总结和展望。讨论涵盖了公司电力电工绝缘产品、新能源汽车S控制器防护业务、铜铝复合材料销售增长情况、毛利率变化、新业务的市场机遇和战略方向。朱总强调了通过精细化管理实现高效运营和战略布局的重要性，并展望了公司在高压直流供电技术等新领域的增长潜力及对AI数据中心带来的新材料需求的积极预期。会议展示了公司对未来增长和市场机遇的积极态度和战略规划，朱总重申了公司战略方向和对长期发展的信心，表达了对投资者的感谢和对未来的乐观态度。</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问：公司2026年半年度的销售额增长情况如何？公司三个主要业务板块的具体表现和增长情况是怎样的？</w:t>
      </w:r>
    </w:p>
    <w:p>
      <w:r>
        <w:rPr>
          <w:rFonts w:ascii="等线(中文正文)" w:hAnsi="等线(中文正文)" w:cs="等线(中文正文)" w:eastAsia="等线(中文正文)"/>
          <w:b w:val="false"/>
          <w:i w:val="false"/>
          <w:sz w:val="20"/>
        </w:rPr>
        <w:t>发言人1 答：公司在2026年半年度实现了7.7亿的销售额，同比2025年增长了68.4%。其中，今年上半年的增长速度是最近3到4年内最快的。第一块是电力电工绝缘产品业务，上半年同比增长27%，毛利率为34.48%，虽然相比去年有所下滑，但整体仍保持稳定，并预计全年能维持在35到36左右的水平。第二块是新能源汽车S控防护业务，虽然上半年有所下滑，但由于管理提升和市场趋稳反弹，该业务的毛利率提升至36.13%。第三块是铜铝复合材料业务，作为公司的第二增长曲线，上半年已完成2.3亿的销售额，同比增长超过1100%，毛利率约25%，预计全年可实现8到9亿的销售额。</w:t>
      </w:r>
    </w:p>
    <w:p>
      <w:r>
        <w:rPr>
          <w:rFonts w:ascii="等线(中文正文)" w:hAnsi="等线(中文正文)" w:cs="等线(中文正文)" w:eastAsia="等线(中文正文)"/>
          <w:b w:val="false"/>
          <w:i w:val="false"/>
          <w:sz w:val="20"/>
        </w:rPr>
        <w:t/>
      </w:r>
    </w:p>
    <w:p>
      <w:pPr>
        <w:pStyle w:val="ab"/>
      </w:pPr>
      <w:r>
        <w:t>发言人1 问：公司的费用控制情况如何？</w:t>
      </w:r>
    </w:p>
    <w:p>
      <w:r>
        <w:rPr>
          <w:rFonts w:ascii="等线(中文正文)" w:hAnsi="等线(中文正文)" w:cs="等线(中文正文)" w:eastAsia="等线(中文正文)"/>
          <w:b w:val="false"/>
          <w:i w:val="false"/>
          <w:sz w:val="20"/>
        </w:rPr>
        <w:t>发言人1 答：公司四大期间费用中，销售费用尽管销售额大幅增长，但销售费用同比仍有下降，比例下降了1.48%。管理费用因人员增加而有所增加，但管理费用比例降低了2.61%。研发费用略有增长，占比也因新业务增量较快而有所下降。财务费用方面，由于汇率变动，今年出现了汇兑损失，导致财务费用为正，但相较于同行业而言该占比仍处于较好水平。通过这些费用的控制，公司的净利润达到了1.1亿，同比增长36.82%，归母扣非增长了24.79%。</w:t>
      </w:r>
    </w:p>
    <w:p>
      <w:r>
        <w:rPr>
          <w:rFonts w:ascii="等线(中文正文)" w:hAnsi="等线(中文正文)" w:cs="等线(中文正文)" w:eastAsia="等线(中文正文)"/>
          <w:b w:val="false"/>
          <w:i w:val="false"/>
          <w:sz w:val="20"/>
        </w:rPr>
        <w:t/>
      </w:r>
    </w:p>
    <w:p>
      <w:pPr>
        <w:pStyle w:val="ab"/>
      </w:pPr>
      <w:r>
        <w:t>发言人1 问：在下半年，规模扣分和净利润之间的差额会有什么变化？</w:t>
      </w:r>
    </w:p>
    <w:p>
      <w:r>
        <w:rPr>
          <w:rFonts w:ascii="等线(中文正文)" w:hAnsi="等线(中文正文)" w:cs="等线(中文正文)" w:eastAsia="等线(中文正文)"/>
          <w:b w:val="false"/>
          <w:i w:val="false"/>
          <w:sz w:val="20"/>
        </w:rPr>
        <w:t>发言人1 答：下半年由于部分中间环节无法合并到母公司导致的差额会进一步缩小。</w:t>
      </w:r>
    </w:p>
    <w:p>
      <w:r>
        <w:rPr>
          <w:rFonts w:ascii="等线(中文正文)" w:hAnsi="等线(中文正文)" w:cs="等线(中文正文)" w:eastAsia="等线(中文正文)"/>
          <w:b w:val="false"/>
          <w:i w:val="false"/>
          <w:sz w:val="20"/>
        </w:rPr>
        <w:t/>
      </w:r>
    </w:p>
    <w:p>
      <w:pPr>
        <w:pStyle w:val="ab"/>
      </w:pPr>
      <w:r>
        <w:t>发言人1 问：ROE（净资产收益率）去年和今年的变化情况如何，以及下降的原因是什么？</w:t>
      </w:r>
    </w:p>
    <w:p>
      <w:r>
        <w:rPr>
          <w:rFonts w:ascii="等线(中文正文)" w:hAnsi="等线(中文正文)" w:cs="等线(中文正文)" w:eastAsia="等线(中文正文)"/>
          <w:b w:val="false"/>
          <w:i w:val="false"/>
          <w:sz w:val="20"/>
        </w:rPr>
        <w:t>发言人1 答：今年ROE相较于去年同期有所下降，主要原因是每家公司上市后募集了资金，使得净资产增加，从而使得RE（净资产收益率）在短期内稍微低一点。但长期来看，我们有信心能够继续反弹。</w:t>
      </w:r>
    </w:p>
    <w:p>
      <w:r>
        <w:rPr>
          <w:rFonts w:ascii="等线(中文正文)" w:hAnsi="等线(中文正文)" w:cs="等线(中文正文)" w:eastAsia="等线(中文正文)"/>
          <w:b w:val="false"/>
          <w:i w:val="false"/>
          <w:sz w:val="20"/>
        </w:rPr>
        <w:t/>
      </w:r>
    </w:p>
    <w:p>
      <w:pPr>
        <w:pStyle w:val="ab"/>
      </w:pPr>
      <w:r>
        <w:t>发言人1 问：ROIC（投入回报比）的情况如何，与行业水平相比如何？</w:t>
      </w:r>
    </w:p>
    <w:p>
      <w:r>
        <w:rPr>
          <w:rFonts w:ascii="等线(中文正文)" w:hAnsi="等线(中文正文)" w:cs="等线(中文正文)" w:eastAsia="等线(中文正文)"/>
          <w:b w:val="false"/>
          <w:i w:val="false"/>
          <w:sz w:val="20"/>
        </w:rPr>
        <w:t>发言人1 答：我们控制的非常好，ROIC高于A股上市公司制造业平均中位数5.56%，并且接近美股上市公司的制造业水平（15%左右），说明公司能够用较少的资本高效赚取更多利润，并且持续赚钱的能力很强。</w:t>
      </w:r>
    </w:p>
    <w:p>
      <w:r>
        <w:rPr>
          <w:rFonts w:ascii="等线(中文正文)" w:hAnsi="等线(中文正文)" w:cs="等线(中文正文)" w:eastAsia="等线(中文正文)"/>
          <w:b w:val="false"/>
          <w:i w:val="false"/>
          <w:sz w:val="20"/>
        </w:rPr>
        <w:t/>
      </w:r>
    </w:p>
    <w:p>
      <w:pPr>
        <w:pStyle w:val="ab"/>
      </w:pPr>
      <w:r>
        <w:t>发言人1 问：现金周转率（CCC）及其组成部分是什么？</w:t>
      </w:r>
    </w:p>
    <w:p>
      <w:r>
        <w:rPr>
          <w:rFonts w:ascii="等线(中文正文)" w:hAnsi="等线(中文正文)" w:cs="等线(中文正文)" w:eastAsia="等线(中文正文)"/>
          <w:b w:val="false"/>
          <w:i w:val="false"/>
          <w:sz w:val="20"/>
        </w:rPr>
        <w:t>发言人1 答：现金周转率由库存周转和应收周转组成，前者为60天，后者为66天，加上应付账款43天，形成现金周转周期83天，即一年内能赚4.4次。这一指标优于A股上市制造公司平均中位数100-110天。</w:t>
      </w:r>
    </w:p>
    <w:p>
      <w:r>
        <w:rPr>
          <w:rFonts w:ascii="等线(中文正文)" w:hAnsi="等线(中文正文)" w:cs="等线(中文正文)" w:eastAsia="等线(中文正文)"/>
          <w:b w:val="false"/>
          <w:i w:val="false"/>
          <w:sz w:val="20"/>
        </w:rPr>
        <w:t/>
      </w:r>
    </w:p>
    <w:p>
      <w:pPr>
        <w:pStyle w:val="ab"/>
      </w:pPr>
      <w:r>
        <w:t>发言人1 问：资产负债率及其它相关财务健康指标表现如何？</w:t>
      </w:r>
    </w:p>
    <w:p>
      <w:r>
        <w:rPr>
          <w:rFonts w:ascii="等线(中文正文)" w:hAnsi="等线(中文正文)" w:cs="等线(中文正文)" w:eastAsia="等线(中文正文)"/>
          <w:b w:val="false"/>
          <w:i w:val="false"/>
          <w:sz w:val="20"/>
        </w:rPr>
        <w:t>发言人1 答：资产负债率仅为19.21%，同时拥有11亿现金储备，没有长期贷款前提下。此外，流动比、速动比和现金比等指标均表现优异，显示出公司抗风险能力和资本支出支持未来扩张的能力很强。</w:t>
      </w:r>
    </w:p>
    <w:p>
      <w:r>
        <w:rPr>
          <w:rFonts w:ascii="等线(中文正文)" w:hAnsi="等线(中文正文)" w:cs="等线(中文正文)" w:eastAsia="等线(中文正文)"/>
          <w:b w:val="false"/>
          <w:i w:val="false"/>
          <w:sz w:val="20"/>
        </w:rPr>
        <w:t/>
      </w:r>
    </w:p>
    <w:p>
      <w:pPr>
        <w:pStyle w:val="ab"/>
      </w:pPr>
      <w:r>
        <w:t>发言人1 问：二季度公司的销售和净利润增长情况如何？</w:t>
      </w:r>
    </w:p>
    <w:p>
      <w:r>
        <w:rPr>
          <w:rFonts w:ascii="等线(中文正文)" w:hAnsi="等线(中文正文)" w:cs="等线(中文正文)" w:eastAsia="等线(中文正文)"/>
          <w:b w:val="false"/>
          <w:i w:val="false"/>
          <w:sz w:val="20"/>
        </w:rPr>
        <w:t>发言人1 答：二季度销售额同比增长90.01%，净利润同比增长59.72%，所有四个板块都有良好的增长表现。且二季度环比一季度增长超过20%，表明公司已进入快速增长道路，并预计未来三季度和四季度也将保持高速度增长。</w:t>
      </w:r>
    </w:p>
    <w:p>
      <w:r>
        <w:rPr>
          <w:rFonts w:ascii="等线(中文正文)" w:hAnsi="等线(中文正文)" w:cs="等线(中文正文)" w:eastAsia="等线(中文正文)"/>
          <w:b w:val="false"/>
          <w:i w:val="false"/>
          <w:sz w:val="20"/>
        </w:rPr>
        <w:t/>
      </w:r>
    </w:p>
    <w:p>
      <w:pPr>
        <w:pStyle w:val="ab"/>
      </w:pPr>
      <w:r>
        <w:t>发言人1 问：AI领域的机遇及对公司可能带来的影响是什么？</w:t>
      </w:r>
    </w:p>
    <w:p>
      <w:r>
        <w:rPr>
          <w:rFonts w:ascii="等线(中文正文)" w:hAnsi="等线(中文正文)" w:cs="等线(中文正文)" w:eastAsia="等线(中文正文)"/>
          <w:b w:val="false"/>
          <w:i w:val="false"/>
          <w:sz w:val="20"/>
        </w:rPr>
        <w:t>发言人1 答：AI领域的热门趋势是AIDC（人工智能数据中心）建设，尤其是随着英伟达等技术的提高，对供电要求提升至高压直流电，这将给公司带来四个方面的机遇：一是燃气轮机供电需求增加；二是工频变压器向固态变压器转变带来的绝缘材料需求增长；三是高压直流供电对储能的隔热和防火要求提升，尤其是大电流电芯对铜铝复合材料的需求增加。</w:t>
      </w:r>
    </w:p>
    <w:p>
      <w:r>
        <w:rPr>
          <w:rFonts w:ascii="等线(中文正文)" w:hAnsi="等线(中文正文)" w:cs="等线(中文正文)" w:eastAsia="等线(中文正文)"/>
          <w:b w:val="false"/>
          <w:i w:val="false"/>
          <w:sz w:val="20"/>
        </w:rPr>
        <w:t/>
      </w:r>
    </w:p>
    <w:p>
      <w:pPr>
        <w:pStyle w:val="ab"/>
      </w:pPr>
      <w:r>
        <w:t>发言人1 问：在AIDC直流化后，哪些市场为带来了新的机遇？</w:t>
      </w:r>
    </w:p>
    <w:p>
      <w:r>
        <w:rPr>
          <w:rFonts w:ascii="等线(中文正文)" w:hAnsi="等线(中文正文)" w:cs="等线(中文正文)" w:eastAsia="等线(中文正文)"/>
          <w:b w:val="false"/>
          <w:i w:val="false"/>
          <w:sz w:val="20"/>
        </w:rPr>
        <w:t>发言人1 答：AIDC直流化后，母线和母排供电系统的出现，使得绝缘树脂灌封市场有了新的机遇。此外，燃气轮机发电机内部的线棒绝缘处理方案，通过材料到部件的转变，预计每年增量可达200台至300台，市场毛利约为30%。</w:t>
      </w:r>
    </w:p>
    <w:p>
      <w:r>
        <w:rPr>
          <w:rFonts w:ascii="等线(中文正文)" w:hAnsi="等线(中文正文)" w:cs="等线(中文正文)" w:eastAsia="等线(中文正文)"/>
          <w:b w:val="false"/>
          <w:i w:val="false"/>
          <w:sz w:val="20"/>
        </w:rPr>
        <w:t/>
      </w:r>
    </w:p>
    <w:p>
      <w:pPr>
        <w:pStyle w:val="ab"/>
      </w:pPr>
      <w:r>
        <w:t>发言人1 问：第二个例子中提到的高导热环氧绝缘树脂在数据中心应用的具体情况是什么？</w:t>
      </w:r>
    </w:p>
    <w:p>
      <w:r>
        <w:rPr>
          <w:rFonts w:ascii="等线(中文正文)" w:hAnsi="等线(中文正文)" w:cs="等线(中文正文)" w:eastAsia="等线(中文正文)"/>
          <w:b w:val="false"/>
          <w:i w:val="false"/>
          <w:sz w:val="20"/>
        </w:rPr>
        <w:t>发言人1 答：在AIDC数据中心中，高导热环氧绝缘树脂和低介损树脂被用于户外及户内母排的绝缘与防火，以实现高密度、高效率的电力传输。例如，在20兆瓦算力中心中，大约需要5000米的母线，这将带来约400万左右的市场增量，且毛利至少在35%以上。</w:t>
      </w:r>
    </w:p>
    <w:p>
      <w:r>
        <w:rPr>
          <w:rFonts w:ascii="等线(中文正文)" w:hAnsi="等线(中文正文)" w:cs="等线(中文正文)" w:eastAsia="等线(中文正文)"/>
          <w:b w:val="false"/>
          <w:i w:val="false"/>
          <w:sz w:val="20"/>
        </w:rPr>
        <w:t/>
      </w:r>
    </w:p>
    <w:p>
      <w:pPr>
        <w:pStyle w:val="ab"/>
      </w:pPr>
      <w:r>
        <w:t>发言人1 问：SST变压器在这次变革中有哪些新的发展机遇？</w:t>
      </w:r>
    </w:p>
    <w:p>
      <w:r>
        <w:rPr>
          <w:rFonts w:ascii="等线(中文正文)" w:hAnsi="等线(中文正文)" w:cs="等线(中文正文)" w:eastAsia="等线(中文正文)"/>
          <w:b w:val="false"/>
          <w:i w:val="false"/>
          <w:sz w:val="20"/>
        </w:rPr>
        <w:t>发言人1 答：SST变压器采用特殊的绝缘材料，如云母带和绝缘树脂进行整体绝缘处理，不仅可以提供绝缘材料，还可以为客户制成型的线圈。这使得产品金额从原本的约70万增长到约150万，为公司带来了新的增长点。</w:t>
      </w:r>
    </w:p>
    <w:p>
      <w:r>
        <w:rPr>
          <w:rFonts w:ascii="等线(中文正文)" w:hAnsi="等线(中文正文)" w:cs="等线(中文正文)" w:eastAsia="等线(中文正文)"/>
          <w:b w:val="false"/>
          <w:i w:val="false"/>
          <w:sz w:val="20"/>
        </w:rPr>
        <w:t/>
      </w:r>
    </w:p>
    <w:p>
      <w:pPr>
        <w:pStyle w:val="ab"/>
      </w:pPr>
      <w:r>
        <w:t>发言人1 问：新国标GB38031-2025版对于公司有何利好影响？</w:t>
      </w:r>
    </w:p>
    <w:p>
      <w:r>
        <w:rPr>
          <w:rFonts w:ascii="等线(中文正文)" w:hAnsi="等线(中文正文)" w:cs="等线(中文正文)" w:eastAsia="等线(中文正文)"/>
          <w:b w:val="false"/>
          <w:i w:val="false"/>
          <w:sz w:val="20"/>
        </w:rPr>
        <w:t>发言人1 答：新国标要求电池单体在2小时内不起火不爆炸，这促使在锂电池多个部位增加柔性云母类产品以确保安全防护，从而为公司带来国内市场的增量需求。</w:t>
      </w:r>
    </w:p>
    <w:p>
      <w:r>
        <w:rPr>
          <w:rFonts w:ascii="等线(中文正文)" w:hAnsi="等线(中文正文)" w:cs="等线(中文正文)" w:eastAsia="等线(中文正文)"/>
          <w:b w:val="false"/>
          <w:i w:val="false"/>
          <w:sz w:val="20"/>
        </w:rPr>
        <w:t/>
      </w:r>
    </w:p>
    <w:p>
      <w:pPr>
        <w:pStyle w:val="ab"/>
      </w:pPr>
      <w:r>
        <w:t>发言人1 问：北美电动车市场的复苏对公司意味着什么？储能领域的隔热需求对公司意味着什么新机遇？</w:t>
      </w:r>
    </w:p>
    <w:p>
      <w:r>
        <w:rPr>
          <w:rFonts w:ascii="等线(中文正文)" w:hAnsi="等线(中文正文)" w:cs="等线(中文正文)" w:eastAsia="等线(中文正文)"/>
          <w:b w:val="false"/>
          <w:i w:val="false"/>
          <w:sz w:val="20"/>
        </w:rPr>
        <w:t>发言人1 答：北美电动车市场的反弹，特别是特斯拉、谷歌和亚马逊等企业的推动下，自动驾驶技术成熟带动电动车销售增长，这对公司有利。由于公司在北美市场占有率最高，电动车市场的复苏对公司相关业务具有积极影响。随着电芯向大容量发展，储能领域的隔热需求成为新的市场机遇，这将进一步推动公司业务的发展。</w:t>
      </w:r>
    </w:p>
    <w:p>
      <w:r>
        <w:rPr>
          <w:rFonts w:ascii="等线(中文正文)" w:hAnsi="等线(中文正文)" w:cs="等线(中文正文)" w:eastAsia="等线(中文正文)"/>
          <w:b w:val="false"/>
          <w:i w:val="false"/>
          <w:sz w:val="20"/>
        </w:rPr>
        <w:t/>
      </w:r>
    </w:p>
    <w:p>
      <w:pPr>
        <w:pStyle w:val="ab"/>
      </w:pPr>
      <w:r>
        <w:t>发言人1 问：IPO募集的资金将如何助力公司发展？</w:t>
      </w:r>
    </w:p>
    <w:p>
      <w:r>
        <w:rPr>
          <w:rFonts w:ascii="等线(中文正文)" w:hAnsi="等线(中文正文)" w:cs="等线(中文正文)" w:eastAsia="等线(中文正文)"/>
          <w:b w:val="false"/>
          <w:i w:val="false"/>
          <w:sz w:val="20"/>
        </w:rPr>
        <w:t>发言人1 答：募集的11亿资金将用于广东汕尾工厂和苏州工厂的扩展，这将为公司带来产能和市场的双重增长，为未来2到3年的业务发展提供有力支撑。</w:t>
      </w:r>
    </w:p>
    <w:p>
      <w:r>
        <w:rPr>
          <w:rFonts w:ascii="等线(中文正文)" w:hAnsi="等线(中文正文)" w:cs="等线(中文正文)" w:eastAsia="等线(中文正文)"/>
          <w:b w:val="false"/>
          <w:i w:val="false"/>
          <w:sz w:val="20"/>
        </w:rPr>
        <w:t/>
      </w:r>
    </w:p>
    <w:p>
      <w:pPr>
        <w:pStyle w:val="ab"/>
      </w:pPr>
      <w:r>
        <w:t>发言人1 问：同理复合材料目前有哪些应用市场及发展前景？</w:t>
      </w:r>
    </w:p>
    <w:p>
      <w:r>
        <w:rPr>
          <w:rFonts w:ascii="等线(中文正文)" w:hAnsi="等线(中文正文)" w:cs="等线(中文正文)" w:eastAsia="等线(中文正文)"/>
          <w:b w:val="false"/>
          <w:i w:val="false"/>
          <w:sz w:val="20"/>
        </w:rPr>
        <w:t>发言人1 答：同理复合材料目前主要应用于锂电池负极极片，预计到2030年市场总额可达108亿至144亿元人民币。此外，在锂电池模组连接母排方面，公司研发的三明治结构可实现减重降本，替换传统铜制母排，市场潜力约7.2万吨，销售额达64亿至72亿人民币，主要针对新能源汽车和储能领域。</w:t>
      </w:r>
    </w:p>
    <w:p>
      <w:r>
        <w:rPr>
          <w:rFonts w:ascii="等线(中文正文)" w:hAnsi="等线(中文正文)" w:cs="等线(中文正文)" w:eastAsia="等线(中文正文)"/>
          <w:b w:val="false"/>
          <w:i w:val="false"/>
          <w:sz w:val="20"/>
        </w:rPr>
        <w:t/>
      </w:r>
    </w:p>
    <w:p>
      <w:pPr>
        <w:pStyle w:val="ab"/>
      </w:pPr>
      <w:r>
        <w:t>发言人1 问：公司当前的市值和PE倍率如何，以及与同行业的对比情况是怎样的？</w:t>
      </w:r>
    </w:p>
    <w:p>
      <w:r>
        <w:rPr>
          <w:rFonts w:ascii="等线(中文正文)" w:hAnsi="等线(中文正文)" w:cs="等线(中文正文)" w:eastAsia="等线(中文正文)"/>
          <w:b w:val="false"/>
          <w:i w:val="false"/>
          <w:sz w:val="20"/>
        </w:rPr>
        <w:t>发言人1 答：我们公司的当前市值相较于同行业的浙江龙泰和平安电工较低，但排名第二。在第二增长曲线方面，我们选择了铜铝复合材料作为发展方向，今年预计能达到8到9亿的销售额，这不仅表明我们的第二增长曲线已经成型并成为目前最大的业务板块。同时，根据中信证券和东吴证券的研报预测，我们公司在未来三年（2026年至2028年）的扣费规模净利润有望实现显著增长，对应着50%左右的复合增长率。以此计算，我们公司的PE倍率将分别降至29倍、19倍和13倍，相比可比公司浙江龙泰和平安电工的市值有所低估。</w:t>
      </w:r>
    </w:p>
    <w:p>
      <w:r>
        <w:rPr>
          <w:rFonts w:ascii="等线(中文正文)" w:hAnsi="等线(中文正文)" w:cs="等线(中文正文)" w:eastAsia="等线(中文正文)"/>
          <w:b w:val="false"/>
          <w:i w:val="false"/>
          <w:sz w:val="20"/>
        </w:rPr>
        <w:t/>
      </w:r>
    </w:p>
    <w:p>
      <w:pPr>
        <w:pStyle w:val="ab"/>
      </w:pPr>
      <w:r>
        <w:t>发言人1 问：公司如何判断一个新方向值得投入的具体标准是什么？</w:t>
      </w:r>
    </w:p>
    <w:p>
      <w:r>
        <w:rPr>
          <w:rFonts w:ascii="等线(中文正文)" w:hAnsi="等线(中文正文)" w:cs="等线(中文正文)" w:eastAsia="等线(中文正文)"/>
          <w:b w:val="false"/>
          <w:i w:val="false"/>
          <w:sz w:val="20"/>
        </w:rPr>
        <w:t>发言人1 答：判断新方向是否值得投入的关键在于能力编辑和产品协同。例如，我们公司能从电力电工材料领域拓展至热防护材料再到铜铝复合材料，正是基于对自身能力的有效编辑和产品间的协同效应。在能力编辑方面，我们的电力电工绝缘材料中的云母和树脂等核心材料，既适用于绝缘性能要求高的电力电工产品，也适用于需要抗冲击和耐高温能力的热防护部件。而铜铝复合材料的生产则体现了范围经济化原则，因为我们的云母热失控防护件和铜铝复合材料都面向新能源汽车这一终端客户，这种协同性使得我们在不同产品线间具备了规模经济的优势。</w:t>
      </w:r>
    </w:p>
    <w:p>
      <w:r>
        <w:rPr>
          <w:rFonts w:ascii="等线(中文正文)" w:hAnsi="等线(中文正文)" w:cs="等线(中文正文)" w:eastAsia="等线(中文正文)"/>
          <w:b w:val="false"/>
          <w:i w:val="false"/>
          <w:sz w:val="20"/>
        </w:rPr>
        <w:t/>
      </w:r>
    </w:p>
    <w:p>
      <w:pPr>
        <w:pStyle w:val="ab"/>
      </w:pPr>
      <w:r>
        <w:t>发言人1 问：在新项目的选择和判断上，您认为哪个行业具有发展方向？公司内部在验证哪些新材料方向，可能成为第三曲线？</w:t>
      </w:r>
    </w:p>
    <w:p>
      <w:r>
        <w:rPr>
          <w:rFonts w:ascii="等线(中文正文)" w:hAnsi="等线(中文正文)" w:cs="等线(中文正文)" w:eastAsia="等线(中文正文)"/>
          <w:b w:val="false"/>
          <w:i w:val="false"/>
          <w:sz w:val="20"/>
        </w:rPr>
        <w:t>发言人1 答：我认为电动车行业是具有发展方向的，因为电动化和智能化是共同推进的，会替代传统的燃油车。此外，储能也是新的战略方向，新产品必须有能力替代传统产品。目前公司内部正在验证新材料方向，如七凝胶复合、高导热绝缘树脂等，并且这些新材料正处在送样、定点和小批量阶段。</w:t>
      </w:r>
    </w:p>
    <w:p>
      <w:r>
        <w:rPr>
          <w:rFonts w:ascii="等线(中文正文)" w:hAnsi="等线(中文正文)" w:cs="等线(中文正文)" w:eastAsia="等线(中文正文)"/>
          <w:b w:val="false"/>
          <w:i w:val="false"/>
          <w:sz w:val="20"/>
        </w:rPr>
        <w:t/>
      </w:r>
    </w:p>
    <w:p>
      <w:pPr>
        <w:pStyle w:val="ab"/>
      </w:pPr>
      <w:r>
        <w:t>发言人1 问：储能方面的隔热材料有何发展计划？</w:t>
      </w:r>
    </w:p>
    <w:p>
      <w:r>
        <w:rPr>
          <w:rFonts w:ascii="等线(中文正文)" w:hAnsi="等线(中文正文)" w:cs="等线(中文正文)" w:eastAsia="等线(中文正文)"/>
          <w:b w:val="false"/>
          <w:i w:val="false"/>
          <w:sz w:val="20"/>
        </w:rPr>
        <w:t>发言人1 答：储能方面，随着电芯体积增大，对隔热要求越来越高。传统气凝胶无法有效隔绝长时间高温，我们正在研发纤维类纳米密度板，它具有韧性且能长期隔绝高温，这是未来的发展方向。</w:t>
      </w:r>
    </w:p>
    <w:p>
      <w:r>
        <w:rPr>
          <w:rFonts w:ascii="等线(中文正文)" w:hAnsi="等线(中文正文)" w:cs="等线(中文正文)" w:eastAsia="等线(中文正文)"/>
          <w:b w:val="false"/>
          <w:i w:val="false"/>
          <w:sz w:val="20"/>
        </w:rPr>
        <w:t/>
      </w:r>
    </w:p>
    <w:p>
      <w:pPr>
        <w:pStyle w:val="ab"/>
      </w:pPr>
      <w:r>
        <w:t>发言人1 问：在AIDC领域，哪个方向可能最先看到规模化订单并形成收入贡献？</w:t>
      </w:r>
    </w:p>
    <w:p>
      <w:r>
        <w:rPr>
          <w:rFonts w:ascii="等线(中文正文)" w:hAnsi="等线(中文正文)" w:cs="等线(中文正文)" w:eastAsia="等线(中文正文)"/>
          <w:b w:val="false"/>
          <w:i w:val="false"/>
          <w:sz w:val="20"/>
        </w:rPr>
        <w:t>发言人1 答：在AIDC领域中，最快看到规模化订单并形成收入贡献的是母线上的绝缘材料。因为母线能够解决抗电流能力强和防火、高导热的问题，且在东南亚已有大幅应用。</w:t>
      </w:r>
    </w:p>
    <w:p>
      <w:r>
        <w:rPr>
          <w:rFonts w:ascii="等线(中文正文)" w:hAnsi="等线(中文正文)" w:cs="等线(中文正文)" w:eastAsia="等线(中文正文)"/>
          <w:b w:val="false"/>
          <w:i w:val="false"/>
          <w:sz w:val="20"/>
        </w:rPr>
        <w:t/>
      </w:r>
    </w:p>
    <w:p>
      <w:pPr>
        <w:pStyle w:val="ab"/>
      </w:pPr>
      <w:r>
        <w:t>发言人1 问：目前在AIDC领域客户验证和送样进展如何？</w:t>
      </w:r>
    </w:p>
    <w:p>
      <w:r>
        <w:rPr>
          <w:rFonts w:ascii="等线(中文正文)" w:hAnsi="等线(中文正文)" w:cs="等线(中文正文)" w:eastAsia="等线(中文正文)"/>
          <w:b w:val="false"/>
          <w:i w:val="false"/>
          <w:sz w:val="20"/>
        </w:rPr>
        <w:t>发言人1 答：目前我们正在与全球大厂如法国企业和美国企业进行配套合作，这些客户未来将成为公司的长期战略合作伙伴。通过与这些企业的合作，我们的产品量正在增加。</w:t>
      </w:r>
    </w:p>
    <w:p>
      <w:r>
        <w:rPr>
          <w:rFonts w:ascii="等线(中文正文)" w:hAnsi="等线(中文正文)" w:cs="等线(中文正文)" w:eastAsia="等线(中文正文)"/>
          <w:b w:val="false"/>
          <w:i w:val="false"/>
          <w:sz w:val="20"/>
        </w:rPr>
        <w:t/>
      </w:r>
    </w:p>
    <w:p>
      <w:pPr>
        <w:pStyle w:val="ab"/>
      </w:pPr>
      <w:r>
        <w:t>发言人1 问：公司对于IDC领域的中长期收入规划是怎样的？</w:t>
      </w:r>
    </w:p>
    <w:p>
      <w:r>
        <w:rPr>
          <w:rFonts w:ascii="等线(中文正文)" w:hAnsi="等线(中文正文)" w:cs="等线(中文正文)" w:eastAsia="等线(中文正文)"/>
          <w:b w:val="false"/>
          <w:i w:val="false"/>
          <w:sz w:val="20"/>
        </w:rPr>
        <w:t>发言人1 答：公司对IDC领域有明确的收入规划。今年的目标是几千万营收，明年预计能达到4到5亿的目标。</w:t>
      </w:r>
    </w:p>
    <w:p>
      <w:r>
        <w:rPr>
          <w:rFonts w:ascii="等线(中文正文)" w:hAnsi="等线(中文正文)" w:cs="等线(中文正文)" w:eastAsia="等线(中文正文)"/>
          <w:b w:val="false"/>
          <w:i w:val="false"/>
          <w:sz w:val="20"/>
        </w:rPr>
        <w:t/>
      </w:r>
    </w:p>
    <w:p>
      <w:pPr>
        <w:pStyle w:val="ab"/>
      </w:pPr>
      <w:r>
        <w:t>发言人1 问：IDC业务的毛利率情况如何？</w:t>
      </w:r>
    </w:p>
    <w:p>
      <w:r>
        <w:rPr>
          <w:rFonts w:ascii="等线(中文正文)" w:hAnsi="等线(中文正文)" w:cs="等线(中文正文)" w:eastAsia="等线(中文正文)"/>
          <w:b w:val="false"/>
          <w:i w:val="false"/>
          <w:sz w:val="20"/>
        </w:rPr>
        <w:t>发言人1 答：IDC业务中，燃气轮机的线棒毛利率约为30%，高档母排材料的毛利率在35%左右，储能的毛利率也是35%左右，而AAT（可能指特定产品）的毛利率相对较高，大约在40%左右。</w:t>
      </w:r>
    </w:p>
    <w:p>
      <w:r>
        <w:rPr>
          <w:rFonts w:ascii="等线(中文正文)" w:hAnsi="等线(中文正文)" w:cs="等线(中文正文)" w:eastAsia="等线(中文正文)"/>
          <w:b w:val="false"/>
          <w:i w:val="false"/>
          <w:sz w:val="20"/>
        </w:rPr>
        <w:t/>
      </w:r>
    </w:p>
    <w:p>
      <w:pPr>
        <w:pStyle w:val="ab"/>
      </w:pPr>
      <w:r>
        <w:t>发言人1 问：公司是否会向下游转型供应更多高附加值的产品？</w:t>
      </w:r>
    </w:p>
    <w:p>
      <w:r>
        <w:rPr>
          <w:rFonts w:ascii="等线(中文正文)" w:hAnsi="等线(中文正文)" w:cs="等线(中文正文)" w:eastAsia="等线(中文正文)"/>
          <w:b w:val="false"/>
          <w:i w:val="false"/>
          <w:sz w:val="20"/>
        </w:rPr>
        <w:t>发言人1 答：公司战略定位清晰，是一家以材料起家的公司，先从绝缘材料做起，再发展到导通材料。虽然目前主要供应中上游绝缘材料，但未来会逐步向下游转型，提供更多高附加值的产品。</w:t>
      </w:r>
    </w:p>
    <w:p>
      <w:r>
        <w:rPr>
          <w:rFonts w:ascii="等线(中文正文)" w:hAnsi="等线(中文正文)" w:cs="等线(中文正文)" w:eastAsia="等线(中文正文)"/>
          <w:b w:val="false"/>
          <w:i w:val="false"/>
          <w:sz w:val="20"/>
        </w:rPr>
        <w:t/>
      </w:r>
    </w:p>
    <w:p>
      <w:pPr>
        <w:pStyle w:val="ab"/>
      </w:pPr>
      <w:r>
        <w:t>发言人1 问：在新能源汽车这个较大的市场中，你们的策略是什么？</w:t>
      </w:r>
    </w:p>
    <w:p>
      <w:r>
        <w:rPr>
          <w:rFonts w:ascii="等线(中文正文)" w:hAnsi="等线(中文正文)" w:cs="等线(中文正文)" w:eastAsia="等线(中文正文)"/>
          <w:b w:val="false"/>
          <w:i w:val="false"/>
          <w:sz w:val="20"/>
        </w:rPr>
        <w:t>发言人1 答：我们的战略定位是将导通铜铝复合材料做成部件，利用我们的技术和设计能力为客户提供解决方案。对于较小的市场，则以主供材料为主。</w:t>
      </w:r>
    </w:p>
    <w:p>
      <w:r>
        <w:rPr>
          <w:rFonts w:ascii="等线(中文正文)" w:hAnsi="等线(中文正文)" w:cs="等线(中文正文)" w:eastAsia="等线(中文正文)"/>
          <w:b w:val="false"/>
          <w:i w:val="false"/>
          <w:sz w:val="20"/>
        </w:rPr>
        <w:t/>
      </w:r>
    </w:p>
    <w:p>
      <w:pPr>
        <w:pStyle w:val="ab"/>
      </w:pPr>
      <w:r>
        <w:t>发言人1 问：上半年铜铝复合材料收入增长迅猛，下半年订单能见度及达成节奏如何？目前产能利用率和上半年盈利能力的情况如何？</w:t>
      </w:r>
    </w:p>
    <w:p>
      <w:r>
        <w:rPr>
          <w:rFonts w:ascii="等线(中文正文)" w:hAnsi="等线(中文正文)" w:cs="等线(中文正文)" w:eastAsia="等线(中文正文)"/>
          <w:b w:val="false"/>
          <w:i w:val="false"/>
          <w:sz w:val="20"/>
        </w:rPr>
        <w:t>发言人1 答：由于去年四季度得到宁德时代的全面认证，今年一季度开始订单快速增长。目前，我们的月产能已超过1000吨，并预计到下半年保持稳定，四季度因行业旺季有望进一步提升。全年销售额预计能达到8到9亿，且未来一年内年产能可望达到2万吨，这在行业中处于领先地位。关于盈利能力，随着高倍率充电结构产品需求增加，毛利率有望改善并带动整体盈利能力提升。</w:t>
      </w:r>
    </w:p>
    <w:p>
      <w:r>
        <w:rPr>
          <w:rFonts w:ascii="等线(中文正文)" w:hAnsi="等线(中文正文)" w:cs="等线(中文正文)" w:eastAsia="等线(中文正文)"/>
          <w:b w:val="false"/>
          <w:i w:val="false"/>
          <w:sz w:val="20"/>
        </w:rPr>
        <w:t/>
      </w:r>
    </w:p>
    <w:p>
      <w:pPr>
        <w:pStyle w:val="ab"/>
      </w:pPr>
      <w:r>
        <w:t>发言人1 问：对于汽车热防护热失控业务，在北美市场的份额保持领先，近期订单企稳回升的原因及主要客户群体是哪些？</w:t>
      </w:r>
    </w:p>
    <w:p>
      <w:r>
        <w:rPr>
          <w:rFonts w:ascii="等线(中文正文)" w:hAnsi="等线(中文正文)" w:cs="等线(中文正文)" w:eastAsia="等线(中文正文)"/>
          <w:b w:val="false"/>
          <w:i w:val="false"/>
          <w:sz w:val="20"/>
        </w:rPr>
        <w:t>发言人1 答：回升的主要原因包括robot taxi等领域的积极带动。在北美市场，特斯拉、Uber（通过与李文的合作）以及北美丰田都是重要的客户群体。尤其是北美丰田，其主力车型从混动转为纯电动时，我们为其提供了关键的热防护产品支持。此外，新增客户如现代起亚也在北美市场取得了电动车的不错增长。同时，老牌客户GM（通用汽车）和福特业绩反弹，以及造车新势力FSD和萝卜战略的推进，都为公司带来了综合的增长机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2026-08-26T01:51:39Z</dcterms:created>
  <dc:creator>Apache POI</dc:creator>
</cp:coreProperties>
</file>