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东财地产_15分钟核心要点电话会(第六期)从中海宏洋中报看行业利润拐点 260825_导读</w:t>
      </w:r>
    </w:p>
    <w:p>
      <w:pPr>
        <w:pStyle w:val="a0"/>
        <w:jc w:val="center"/>
      </w:pPr>
      <w:r>
        <w:t>2026年08月26日 00:51</w:t>
      </w:r>
    </w:p>
    <w:p>
      <w:pPr>
        <w:pStyle w:val="a7"/>
      </w:pPr>
      <w:r>
        <w:t>关键词</w:t>
      </w:r>
    </w:p>
    <w:p>
      <w:r>
        <w:rPr>
          <w:rFonts w:ascii="等线(中文正文)" w:hAnsi="等线(中文正文)" w:cs="等线(中文正文)" w:eastAsia="等线(中文正文)"/>
          <w:b w:val="false"/>
          <w:i w:val="false"/>
          <w:sz w:val="20"/>
        </w:rPr>
        <w:t xml:space="preserve">房地产 利润 存货减值 市场情绪 房价 新房 二手房 换手率 销售 阿尔法 贝塔 政策刺激 现金流量表 利润表 收并购 新项目 销售额 定投 地产 仓位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当前房地产行业面临普遍悲观预期，但行业内部正在经历分化，部分企业通过积极拿地和优化资产结构改善财务状况，预示行业利润拐点可能正在形成。随着自然新陈代谢，行业有望逐步复苏，企业利润修复。市场对房价和换手率持乐观态度，认为不必过度悲观，而应看作是行业自身迭代恢复的过程。建议投资者采取定投策略，在当前赔率较高、胜率提升的时机逐步增加对房地产领域的投资，长远看好房地产行业的投资价值。</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地产行业利润拐点与市场变化分析</w:t>
      </w:r>
    </w:p>
    <w:p>
      <w:r>
        <w:rPr>
          <w:rFonts w:ascii="等线(中文正文)" w:hAnsi="等线(中文正文)" w:cs="等线(中文正文)" w:eastAsia="等线(中文正文)"/>
          <w:b w:val="false"/>
          <w:i w:val="false"/>
          <w:sz w:val="20"/>
        </w:rPr>
        <w:t>会议强调了行业利润变化的触发因素，探讨了市场对地产股估值的逻辑转变，以及衡阳事件带来的启示。基于当前市场动态，分析了行业未来发展方向，并提出了相应的投资配置策略建议。</w:t>
      </w:r>
    </w:p>
    <w:p>
      <w:r>
        <w:rPr>
          <w:rFonts w:ascii="等线(中文正文)" w:hAnsi="等线(中文正文)" w:cs="等线(中文正文)" w:eastAsia="等线(中文正文)"/>
          <w:b w:val="false"/>
          <w:i w:val="false"/>
          <w:sz w:val="20"/>
        </w:rPr>
        <w:t/>
      </w:r>
    </w:p>
    <w:p>
      <w:pPr>
        <w:pStyle w:val="a7"/>
      </w:pPr>
      <w:r>
        <w:t>发言总结</w:t>
      </w:r>
    </w:p>
    <w:p>
      <w:pPr>
        <w:pStyle w:val="ab"/>
        <w:numPr>
          <w:numId w:val="2"/>
        </w:numPr>
      </w:pPr>
      <w:r>
        <w:t>发言人1</w:t>
      </w:r>
    </w:p>
    <w:p>
      <w:r>
        <w:rPr>
          <w:rFonts w:ascii="等线(中文正文)" w:hAnsi="等线(中文正文)" w:cs="等线(中文正文)" w:eastAsia="等线(中文正文)"/>
          <w:b w:val="false"/>
          <w:i w:val="false"/>
          <w:sz w:val="20"/>
        </w:rPr>
        <w:t>讨论了房地产行业的当前关注点、市场变化及未来发展趋势，特别强调了存货减值问题对企业的影响，并提出了通过拿地和置换存量来缓解这一问题的策略。尽管市场对房地产行业整体持悲观态度，但企业分化现象明显，部分积极调整策略的企业已开始复苏。他指出，随着行业消化旧有存货，新项目利润将逐渐显现，为房地产企业带来利润修复的机会。他建议投资者采取定投策略，逐步配置房地产相关资产，并强调长期看行业估值将调整，持续发展企业的配置价值。最后，他呼吁投资者保持耐心，关注企业的经营现金流，而不仅仅是利润表。</w:t>
      </w:r>
    </w:p>
    <w:p>
      <w:r>
        <w:rPr>
          <w:rFonts w:ascii="等线(中文正文)" w:hAnsi="等线(中文正文)" w:cs="等线(中文正文)" w:eastAsia="等线(中文正文)"/>
          <w:b w:val="false"/>
          <w:i w:val="false"/>
          <w:sz w:val="20"/>
        </w:rPr>
        <w:t/>
      </w:r>
    </w:p>
    <w:p>
      <w:pPr>
        <w:pStyle w:val="a7"/>
      </w:pPr>
      <w:r>
        <w:t>要点回顾</w:t>
      </w:r>
    </w:p>
    <w:p>
      <w:pPr>
        <w:pStyle w:val="ab"/>
      </w:pPr>
      <w:r>
        <w:t>市场对地产股目前的估值定价逻辑主要看重什么？市场对于地产行业的利润拐点有何看法？</w:t>
      </w:r>
    </w:p>
    <w:p>
      <w:r>
        <w:rPr>
          <w:rFonts w:ascii="等线(中文正文)" w:hAnsi="等线(中文正文)" w:cs="等线(中文正文)" w:eastAsia="等线(中文正文)"/>
          <w:b w:val="false"/>
          <w:i w:val="false"/>
          <w:sz w:val="20"/>
        </w:rPr>
        <w:t>发言人1：当前市场对于地产股的估值定价，主要关注企业的存货处理方式和利润修复节奏。投资者担忧存货减值问题，但部分企业可能通过自我贬值和延后确认收入的方式来应对存货拖累，这使得未来2-3年的利润表现存在乐观预期。此外，现金流量表中的经营现金流是更为重要的指标，能够反映企业置换存量包袱的速度和经营压力状况。市场普遍持悲观态度，认为行业贝塔尚未企稳，房价也没有出现一致性的趋势性拐点。但部分领导思路有所转变，认为存货问题类似银行坏账，是行业发展过程中必然积累的问题，关键在于处理方法。如果房价能稍微稳定，市场情绪将不会太差。</w:t>
      </w:r>
    </w:p>
    <w:p>
      <w:r>
        <w:rPr>
          <w:rFonts w:ascii="等线(中文正文)" w:hAnsi="等线(中文正文)" w:cs="等线(中文正文)" w:eastAsia="等线(中文正文)"/>
          <w:b w:val="false"/>
          <w:i w:val="false"/>
          <w:sz w:val="20"/>
        </w:rPr>
        <w:t/>
      </w:r>
    </w:p>
    <w:p>
      <w:pPr>
        <w:pStyle w:val="ab"/>
      </w:pPr>
      <w:r>
        <w:t>对于未来发展的路径及当下配置策略有何建议？</w:t>
      </w:r>
    </w:p>
    <w:p>
      <w:r>
        <w:rPr>
          <w:rFonts w:ascii="等线(中文正文)" w:hAnsi="等线(中文正文)" w:cs="等线(中文正文)" w:eastAsia="等线(中文正文)"/>
          <w:b w:val="false"/>
          <w:i w:val="false"/>
          <w:sz w:val="20"/>
        </w:rPr>
        <w:t>发言人1：基于当前市场状况和企业存货处理策略的变化，预计未来房价可能相对稳定，从而带动市场情绪好转。企业在处理存货减值问题时，大概率会采取部分贬值和延长确认收入周期的方式，这将影响企业的利润确认时间和节奏。建议关注企业现金流量表中的经营现金流，以判断企业置换存量包袱的速度和经营健康程度，从而进行更合理的配置决策。</w:t>
      </w:r>
    </w:p>
    <w:p>
      <w:r>
        <w:rPr>
          <w:rFonts w:ascii="等线(中文正文)" w:hAnsi="等线(中文正文)" w:cs="等线(中文正文)" w:eastAsia="等线(中文正文)"/>
          <w:b w:val="false"/>
          <w:i w:val="false"/>
          <w:sz w:val="20"/>
        </w:rPr>
        <w:t/>
      </w:r>
    </w:p>
    <w:p>
      <w:pPr>
        <w:pStyle w:val="ab"/>
      </w:pPr>
      <w:r>
        <w:t>在当前土地市场中，企业通过招拍挂以外的方式获取土地的情况如何？</w:t>
      </w:r>
    </w:p>
    <w:p>
      <w:r>
        <w:rPr>
          <w:rFonts w:ascii="等线(中文正文)" w:hAnsi="等线(中文正文)" w:cs="等线(中文正文)" w:eastAsia="等线(中文正文)"/>
          <w:b w:val="false"/>
          <w:i w:val="false"/>
          <w:sz w:val="20"/>
        </w:rPr>
        <w:t>发言人1：近年来，房企不仅通过招拍挂，还积极采用协议书和收并购等方式获取土地。例如华润在七月份就已通过收并购方式获得百亿级体量的项目，这将成为未来重要的土地获取方式之一，并可能对行业产生差异化影响。</w:t>
      </w:r>
    </w:p>
    <w:p>
      <w:r>
        <w:rPr>
          <w:rFonts w:ascii="等线(中文正文)" w:hAnsi="等线(中文正文)" w:cs="等线(中文正文)" w:eastAsia="等线(中文正文)"/>
          <w:b w:val="false"/>
          <w:i w:val="false"/>
          <w:sz w:val="20"/>
        </w:rPr>
        <w:t/>
      </w:r>
    </w:p>
    <w:p>
      <w:pPr>
        <w:pStyle w:val="ab"/>
      </w:pPr>
      <w:r>
        <w:t>当前房企面临的主要财务挑战是什么？存货结构变化如何影响房企利润？</w:t>
      </w:r>
    </w:p>
    <w:p>
      <w:r>
        <w:rPr>
          <w:rFonts w:ascii="等线(中文正文)" w:hAnsi="等线(中文正文)" w:cs="等线(中文正文)" w:eastAsia="等线(中文正文)"/>
          <w:b w:val="false"/>
          <w:i w:val="false"/>
          <w:sz w:val="20"/>
        </w:rPr>
        <w:t>发言人1：当前房企重点关注的是存货减值问题。企业有一定自主空间来处理这一问题，拿地积极的企业可以通过新项目的利润来平衡旧项目的影响。当老项目比例降至50%以下时，新项目的利润主导将逐渐显现，业绩表现也会随之变化。假设一个房企销售额为100亿，其中一半为新货一半为老货。若新货净利率约为10%，则50亿新货可带来5亿利润；而老货若亏损2亿至3亿，那么最终利润就会在两三亿左右。但随着新货比例上升，即使销售额保持不变，利润也会相应增加，因为新货的利润空间更大。这一过程反映了行业自然新陈代谢，房企利润将得到修复，只是各企业修复节奏不同，取决于历史包袱大小和拿地积极性。</w:t>
      </w:r>
    </w:p>
    <w:p>
      <w:r>
        <w:rPr>
          <w:rFonts w:ascii="等线(中文正文)" w:hAnsi="等线(中文正文)" w:cs="等线(中文正文)" w:eastAsia="等线(中文正文)"/>
          <w:b w:val="false"/>
          <w:i w:val="false"/>
          <w:sz w:val="20"/>
        </w:rPr>
        <w:t/>
      </w:r>
    </w:p>
    <w:p>
      <w:pPr>
        <w:pStyle w:val="ab"/>
      </w:pPr>
      <w:r>
        <w:t>对于新房价格和成交量的看法是怎样的？</w:t>
      </w:r>
    </w:p>
    <w:p>
      <w:r>
        <w:rPr>
          <w:rFonts w:ascii="等线(中文正文)" w:hAnsi="等线(中文正文)" w:cs="等线(中文正文)" w:eastAsia="等线(中文正文)"/>
          <w:b w:val="false"/>
          <w:i w:val="false"/>
          <w:sz w:val="20"/>
        </w:rPr>
        <w:t>发言人1：新房价格近两年虽有上涨，但量的变化更为关键。以上海和北京为例，二手房成交量占据主导地位，新房价格对市场影响有限。目前新房成交量已由年初的负增长转为正增长，而二手房成交量也保持同比正增长，显示出市场在逐步修复。</w:t>
      </w:r>
    </w:p>
    <w:p>
      <w:r>
        <w:rPr>
          <w:rFonts w:ascii="等线(中文正文)" w:hAnsi="等线(中文正文)" w:cs="等线(中文正文)" w:eastAsia="等线(中文正文)"/>
          <w:b w:val="false"/>
          <w:i w:val="false"/>
          <w:sz w:val="20"/>
        </w:rPr>
        <w:t/>
      </w:r>
    </w:p>
    <w:p>
      <w:pPr>
        <w:pStyle w:val="ab"/>
      </w:pPr>
      <w:r>
        <w:t>如何理解并预测二手房价格走势？</w:t>
      </w:r>
    </w:p>
    <w:p>
      <w:r>
        <w:rPr>
          <w:rFonts w:ascii="等线(中文正文)" w:hAnsi="等线(中文正文)" w:cs="等线(中文正文)" w:eastAsia="等线(中文正文)"/>
          <w:b w:val="false"/>
          <w:i w:val="false"/>
          <w:sz w:val="20"/>
        </w:rPr>
        <w:t>发言人1：二手房价格受到结构性因素影响，前两年的新房在未来会变成二手房出售，尤其是限售政策到期后，这些房源会以高于市场平均水平的价格进入市场。随着房源不断更新，类似制造业产品迭代，房屋新陈代谢周期约为50至70年。此外，换手率作为另一个重要指标，可反映居民购房需求，当前新房和二手房市场情绪虽不悲观，但需关注换手率的变化对未来市场走势的影响。</w:t>
      </w:r>
    </w:p>
    <w:p>
      <w:r>
        <w:rPr>
          <w:rFonts w:ascii="等线(中文正文)" w:hAnsi="等线(中文正文)" w:cs="等线(中文正文)" w:eastAsia="等线(中文正文)"/>
          <w:b w:val="false"/>
          <w:i w:val="false"/>
          <w:sz w:val="20"/>
        </w:rPr>
        <w:t/>
      </w:r>
    </w:p>
    <w:p>
      <w:pPr>
        <w:pStyle w:val="ab"/>
      </w:pPr>
      <w:r>
        <w:t>对于房地产行业的未来销售情况有何预判？</w:t>
      </w:r>
    </w:p>
    <w:p>
      <w:r>
        <w:rPr>
          <w:rFonts w:ascii="等线(中文正文)" w:hAnsi="等线(中文正文)" w:cs="等线(中文正文)" w:eastAsia="等线(中文正文)"/>
          <w:b w:val="false"/>
          <w:i w:val="false"/>
          <w:sz w:val="20"/>
        </w:rPr>
        <w:t>发言人1：根据换手率及人口数量推算，房地产行业的未来销售量并不需要过度悲观，预计新房销售量仍有一定支撑，且二手房价格调整也将在自身迭代过程中自然实现，无需依赖强烈政策刺激。在此背景下，推荐投资者采取定投策略配置地产行业，随着行业利润结构的变化，一些持续发展的房企将展现出配置价值。</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2026-08-25T16:55:37Z</dcterms:created>
  <dc:creator>Apache POI</dc:creator>
</cp:coreProperties>
</file>