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华源交运 航空星谈 线上会议巡演系列：华夏航空：支线魁首，韧性与弹性兼备 260825_导读</w:t>
      </w:r>
    </w:p>
    <w:p>
      <w:pPr>
        <w:pStyle w:val="a0"/>
        <w:jc w:val="center"/>
      </w:pPr>
      <w:r>
        <w:t>2026年08月26日 01:18</w:t>
      </w:r>
    </w:p>
    <w:p>
      <w:pPr>
        <w:pStyle w:val="a7"/>
      </w:pPr>
      <w:r>
        <w:t>关键词</w:t>
      </w:r>
    </w:p>
    <w:p>
      <w:r>
        <w:rPr>
          <w:rFonts w:ascii="等线(中文正文)" w:hAnsi="等线(中文正文)" w:cs="等线(中文正文)" w:eastAsia="等线(中文正文)"/>
          <w:b w:val="false"/>
          <w:i w:val="false"/>
          <w:sz w:val="20"/>
        </w:rPr>
        <w:t xml:space="preserve">华夏航空 运力增速 小航司 地方政府补贴 应收账款 财务指标 运力采购模式 飞行小时数 飞行员短缺 资本开支 毛利率 市场占有率 外部环境 高油价环境 公司 业绩 弹性 运力增长 SK增速 油价压力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源交运航空分析师主持了该系列第二期线上会议，深入探讨了华夏航空的业务现状与未来展望。尽管面临运力受损等挑战，华夏航空凭借其韧性和弹性，表现优于行业平均水平，特别是在运力增速、旅客市场占有率和收入增速方面。分析师预计，明年上半年受损运力将恢复，同时公司正积极解决飞行员短缺问题，未来飞行小时数有望提升，预示业绩增长。华夏航空的独特业务形态和运营模式使其在高油价环境下仍保持较高经营韧性，尤其与地方政府紧密合作的运力采购模式，为公司提供了额外的收入来源和成本优势。当前股价反映了行业和公司运营的利空，但分析师认为，在未来油价下降和业绩增长的预期下，其性价比极高，值得投资。分析师鼓励投资人关注公司未来运营扩张和市场需求假设，以获取更深度信息。</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华夏航空业绩修复逻辑与市场表现分析</w:t>
      </w:r>
    </w:p>
    <w:p>
      <w:r>
        <w:rPr>
          <w:rFonts w:ascii="等线(中文正文)" w:hAnsi="等线(中文正文)" w:cs="等线(中文正文)" w:eastAsia="等线(中文正文)"/>
          <w:b w:val="false"/>
          <w:i w:val="false"/>
          <w:sz w:val="20"/>
        </w:rPr>
        <w:t>会议强调了华夏航空作为小航司在疫情后的业绩修复表现优于大航司，其运力增速和收入增长显著，市场占有率提升，产能周转效率高，展现出强劲的业绩增长潜力。</w:t>
      </w:r>
    </w:p>
    <w:p>
      <w:r>
        <w:rPr>
          <w:rFonts w:ascii="等线(中文正文)" w:hAnsi="等线(中文正文)" w:cs="等线(中文正文)" w:eastAsia="等线(中文正文)"/>
          <w:b w:val="false"/>
          <w:i w:val="false"/>
          <w:sz w:val="20"/>
        </w:rPr>
        <w:t/>
      </w:r>
    </w:p>
    <w:p>
      <w:pPr>
        <w:pStyle w:val="ab"/>
        <w:numPr>
          <w:numId w:val="2"/>
        </w:numPr>
      </w:pPr>
      <w:r>
        <w:t>01:19 华夏航空运力受发动机问题影响及未来展望</w:t>
      </w:r>
    </w:p>
    <w:p>
      <w:r>
        <w:rPr>
          <w:rFonts w:ascii="等线(中文正文)" w:hAnsi="等线(中文正文)" w:cs="等线(中文正文)" w:eastAsia="等线(中文正文)"/>
          <w:b w:val="false"/>
          <w:i w:val="false"/>
          <w:sz w:val="20"/>
        </w:rPr>
        <w:t>今年以来，华夏航空作为航空股回调最大的公司，其市值降至八十多亿，主要受外部环境和小盘股影响。公司面临发动机维修停产问题，影响了运力增长，尤其是320机型的停产对运力影响较大。预计明年上半年问题解决后，公司将迎来运力高增速。</w:t>
      </w:r>
    </w:p>
    <w:p>
      <w:r>
        <w:rPr>
          <w:rFonts w:ascii="等线(中文正文)" w:hAnsi="等线(中文正文)" w:cs="等线(中文正文)" w:eastAsia="等线(中文正文)"/>
          <w:b w:val="false"/>
          <w:i w:val="false"/>
          <w:sz w:val="20"/>
        </w:rPr>
        <w:t/>
      </w:r>
    </w:p>
    <w:p>
      <w:pPr>
        <w:pStyle w:val="ab"/>
        <w:numPr>
          <w:numId w:val="3"/>
        </w:numPr>
      </w:pPr>
      <w:r>
        <w:t>03:13 支线航空补贴风险评估与公司应对策略</w:t>
      </w:r>
    </w:p>
    <w:p>
      <w:r>
        <w:rPr>
          <w:rFonts w:ascii="等线(中文正文)" w:hAnsi="等线(中文正文)" w:cs="等线(中文正文)" w:eastAsia="等线(中文正文)"/>
          <w:b w:val="false"/>
          <w:i w:val="false"/>
          <w:sz w:val="20"/>
        </w:rPr>
        <w:t>对话深入探讨了华夏航空作为支线航空公司的独特性及其面临的补贴风险。分析指出，地方政府对航线补贴的依赖度不高，且补贴成本相对于基础设施建设较低，性价比高，因此对地方财政影响有限。公司通过调整账期和停止对欠款地方政府的补贴，有效控制了应收账款坏账风险。财务数据显示，应收账款周转率和坏账情况逐年改善，其他收益中地方政府补贴增速快于收入增速，表明公司经营策略提供了良好的风险缓冲，未来受补贴风险影响有限。</w:t>
      </w:r>
    </w:p>
    <w:p>
      <w:r>
        <w:rPr>
          <w:rFonts w:ascii="等线(中文正文)" w:hAnsi="等线(中文正文)" w:cs="等线(中文正文)" w:eastAsia="等线(中文正文)"/>
          <w:b w:val="false"/>
          <w:i w:val="false"/>
          <w:sz w:val="20"/>
        </w:rPr>
        <w:t/>
      </w:r>
    </w:p>
    <w:p>
      <w:pPr>
        <w:pStyle w:val="ab"/>
        <w:numPr>
          <w:numId w:val="4"/>
        </w:numPr>
      </w:pPr>
      <w:r>
        <w:t>06:50 公司收入结构与运力采购模式分析</w:t>
      </w:r>
    </w:p>
    <w:p>
      <w:r>
        <w:rPr>
          <w:rFonts w:ascii="等线(中文正文)" w:hAnsi="等线(中文正文)" w:cs="等线(中文正文)" w:eastAsia="等线(中文正文)"/>
          <w:b w:val="false"/>
          <w:i w:val="false"/>
          <w:sz w:val="20"/>
        </w:rPr>
        <w:t>对话深入解析了公司收入构成，指出营收与其他收益占广义收入的比例，详细阐述了票款收入、运力采购协议收入及补贴的分布。同时，探讨了公司在高油价环境下的经营韧性，源于与机构客户的运力采购模式，尤其是有限额模式带来的市场弹性。此外，强调了公司在与地方政府谈判中的议价能力，以及在市场景气时调整价格的潜力，展现了公司独特的经营模式和应对市场变化的能力。</w:t>
      </w:r>
    </w:p>
    <w:p>
      <w:r>
        <w:rPr>
          <w:rFonts w:ascii="等线(中文正文)" w:hAnsi="等线(中文正文)" w:cs="等线(中文正文)" w:eastAsia="等线(中文正文)"/>
          <w:b w:val="false"/>
          <w:i w:val="false"/>
          <w:sz w:val="20"/>
        </w:rPr>
        <w:t/>
      </w:r>
    </w:p>
    <w:p>
      <w:pPr>
        <w:pStyle w:val="ab"/>
        <w:numPr>
          <w:numId w:val="5"/>
        </w:numPr>
      </w:pPr>
      <w:r>
        <w:t>09:18 公司运力扩张与业绩弹性分析</w:t>
      </w:r>
    </w:p>
    <w:p>
      <w:r>
        <w:rPr>
          <w:rFonts w:ascii="等线(中文正文)" w:hAnsi="等线(中文正文)" w:cs="等线(中文正文)" w:eastAsia="等线(中文正文)"/>
          <w:b w:val="false"/>
          <w:i w:val="false"/>
          <w:sz w:val="20"/>
        </w:rPr>
        <w:t>对话探讨了公司过去业绩增长依赖于快速运力扩张，未来计划通过机队增速、飞机回归及飞行员补充实现运力提升，其中非资本开支部分的运力增长将带来更高毛利率收入，预计未来两年SK增速可达13%，油价压力缓解后业绩弹性显著，当前股价被视为买入良机。</w:t>
      </w:r>
    </w:p>
    <w:p>
      <w:r>
        <w:rPr>
          <w:rFonts w:ascii="等线(中文正文)" w:hAnsi="等线(中文正文)" w:cs="等线(中文正文)" w:eastAsia="等线(中文正文)"/>
          <w:b w:val="false"/>
          <w:i w:val="false"/>
          <w:sz w:val="20"/>
        </w:rPr>
        <w:t/>
      </w:r>
    </w:p>
    <w:p>
      <w:pPr>
        <w:pStyle w:val="ab"/>
        <w:numPr>
          <w:numId w:val="6"/>
        </w:numPr>
      </w:pPr>
      <w:r>
        <w:t>11:12 支线航空行业领头羊公司分析</w:t>
      </w:r>
    </w:p>
    <w:p>
      <w:r>
        <w:rPr>
          <w:rFonts w:ascii="等线(中文正文)" w:hAnsi="等线(中文正文)" w:cs="等线(中文正文)" w:eastAsia="等线(中文正文)"/>
          <w:b w:val="false"/>
          <w:i w:val="false"/>
          <w:sz w:val="20"/>
        </w:rPr>
        <w:t>会议深入分析了一家在支线航空行业占据领先地位的公司，强调了其市场覆盖广泛、航线独飞率高、政策补贴优势明显及运营效率高等特点。面对油价高压，公司仍有望保持正向盈利，展现出强劲的经营韧性。未来，随着市场需求的增长和公司市场份额的进一步扩大，其估值被认为极具吸引力，是当前性价比极高的投资标的。</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首先对华源交运航空新盘线上会议巡演系列的参会者表示欢迎，并强调会议内容仅限内部参考，不得泄露或外发。随后，通过华源证券分析师曾志新的介绍，他深入分析了华夏航空作为支线航空领头羊在疫情后的修复逻辑，强调其韧性和弹性，尤其是在运力增速、市场占有率和收入增长方面表现显著。尽管面临发动机难题导致的运力受损，华夏航空凭借其独特的业务模式和地方政府补贴，显示出较强的经营韧性和潜在业绩弹性。他还指出华夏航空在支线航空市场的领先地位、政策扶持和运营优势，认为公司具有高成长性和投资价值，建议投资者关注。最后，他总结了华夏航空的市场定位、业绩潜力和投资逻辑，强调目前是性价比高的投资位置，鼓励有兴趣的投资者进一步了解和联系。</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问：近期华夏航空在行业回调中的情况如何？华夏航空发动机问题具体造成了哪些影响？</w:t>
      </w:r>
    </w:p>
    <w:p>
      <w:r>
        <w:rPr>
          <w:rFonts w:ascii="等线(中文正文)" w:hAnsi="等线(中文正文)" w:cs="等线(中文正文)" w:eastAsia="等线(中文正文)"/>
          <w:b w:val="false"/>
          <w:i w:val="false"/>
          <w:sz w:val="20"/>
        </w:rPr>
        <w:t>发言人1 答：华夏航空在今年板块大幅回调中受影响较大，市值降至八十多亿。但回调幅度主要受小盘股影响，而非公司基本面。公司自身面临发动机难题，导致部分运力受损，这是行业内其他航司也遇到的问题，但对华夏航空的影响尤为显著。华夏航空有六架320飞机因发动机停产而受损，这对公司今年增量运力产生了较大影响。原本预计公司飞机利用小时会持续提升，但由于停飞飞机较多，整体运力增速可能与去年持平。不过，预计明年上半年停产飞机问题将得到解决，届时将补充公司运力，维持高增速。</w:t>
      </w:r>
    </w:p>
    <w:p>
      <w:r>
        <w:rPr>
          <w:rFonts w:ascii="等线(中文正文)" w:hAnsi="等线(中文正文)" w:cs="等线(中文正文)" w:eastAsia="等线(中文正文)"/>
          <w:b w:val="false"/>
          <w:i w:val="false"/>
          <w:sz w:val="20"/>
        </w:rPr>
        <w:t/>
      </w:r>
    </w:p>
    <w:p>
      <w:pPr>
        <w:pStyle w:val="ab"/>
      </w:pPr>
      <w:r>
        <w:t>发言人1 问：对于依赖地方政府补贴的华夏航空，是否存在潜在风险点？</w:t>
      </w:r>
    </w:p>
    <w:p>
      <w:r>
        <w:rPr>
          <w:rFonts w:ascii="等线(中文正文)" w:hAnsi="等线(中文正文)" w:cs="等线(中文正文)" w:eastAsia="等线(中文正文)"/>
          <w:b w:val="false"/>
          <w:i w:val="false"/>
          <w:sz w:val="20"/>
        </w:rPr>
        <w:t>发言人1 答：市场担忧地方政府支付能力不足会影响公司收入和应收账款坏账。然而，根据2024年的股价表现，尽管市场持续杀估值，每次业绩期公司股价却大幅上涨甚至涨停，表明公司在业绩上能够兑现且超预期。我们认为关于地方政府债务压力对华夏航空的影响这一小趋势是不成立的，理由包括：1) 地方政府对支线机场的补贴占支出比例很小，且回报性价比高；2) 对经济欠发达地区而言，发展交通是推动经济发展的重要条件，因此地方政府有意愿也有投入产出比的优势来保障航线补贴。</w:t>
      </w:r>
    </w:p>
    <w:p>
      <w:r>
        <w:rPr>
          <w:rFonts w:ascii="等线(中文正文)" w:hAnsi="等线(中文正文)" w:cs="等线(中文正文)" w:eastAsia="等线(中文正文)"/>
          <w:b w:val="false"/>
          <w:i w:val="false"/>
          <w:sz w:val="20"/>
        </w:rPr>
        <w:t/>
      </w:r>
    </w:p>
    <w:p>
      <w:pPr>
        <w:pStyle w:val="ab"/>
      </w:pPr>
      <w:r>
        <w:t>发言人1 问：华夏航空的基本面目前处于什么样的阶段？</w:t>
      </w:r>
    </w:p>
    <w:p>
      <w:r>
        <w:rPr>
          <w:rFonts w:ascii="等线(中文正文)" w:hAnsi="等线(中文正文)" w:cs="等线(中文正文)" w:eastAsia="等线(中文正文)"/>
          <w:b w:val="false"/>
          <w:i w:val="false"/>
          <w:sz w:val="20"/>
        </w:rPr>
        <w:t>发言人1 答：从疫情以来，整个航空业都在经历修复逻辑，其中小航司如华夏航空在业绩修复方面表现明显优于大航司。华夏航空运力增速高于行业平均，并且旅客量市场占有率逐步提升，收入增速大幅高于运力增长。由于小航司行业贝塔效应以及产能周转率高于行业平均，华夏航空等小公司业绩表现较好。</w:t>
      </w:r>
    </w:p>
    <w:p>
      <w:r>
        <w:rPr>
          <w:rFonts w:ascii="等线(中文正文)" w:hAnsi="等线(中文正文)" w:cs="等线(中文正文)" w:eastAsia="等线(中文正文)"/>
          <w:b w:val="false"/>
          <w:i w:val="false"/>
          <w:sz w:val="20"/>
        </w:rPr>
        <w:t/>
      </w:r>
    </w:p>
    <w:p>
      <w:pPr>
        <w:pStyle w:val="ab"/>
      </w:pPr>
      <w:r>
        <w:t>发言人1 问：公司如何处理历史上的应收账款坏账问题，以及目前对此类风险的应对措施是什么？</w:t>
      </w:r>
    </w:p>
    <w:p>
      <w:r>
        <w:rPr>
          <w:rFonts w:ascii="等线(中文正文)" w:hAnsi="等线(中文正文)" w:cs="等线(中文正文)" w:eastAsia="等线(中文正文)"/>
          <w:b w:val="false"/>
          <w:i w:val="false"/>
          <w:sz w:val="20"/>
        </w:rPr>
        <w:t>发言人1 答：对于过去的应收账款坏账，公司主要是在2020年开始逐步冲回，并且通过改善财务指标实现了良好的修正速度。针对未来，对于2024年之前的经营中可能出现坏账的情况，公司会给予较长的账期。而对于新开行业的补贴，若地方政府存在欠款问题，公司不再为其提供运营支持。因此，极端损失被控制在运营成本范围内，整体风险是可控的。</w:t>
      </w:r>
    </w:p>
    <w:p>
      <w:r>
        <w:rPr>
          <w:rFonts w:ascii="等线(中文正文)" w:hAnsi="等线(中文正文)" w:cs="等线(中文正文)" w:eastAsia="等线(中文正文)"/>
          <w:b w:val="false"/>
          <w:i w:val="false"/>
          <w:sz w:val="20"/>
        </w:rPr>
        <w:t/>
      </w:r>
    </w:p>
    <w:p>
      <w:pPr>
        <w:pStyle w:val="ab"/>
      </w:pPr>
      <w:r>
        <w:t>发言人1 问：过去几年公司其他收益科目中，地方政府补贴的增长情况如何？对公司的影响如何？</w:t>
      </w:r>
    </w:p>
    <w:p>
      <w:r>
        <w:rPr>
          <w:rFonts w:ascii="等线(中文正文)" w:hAnsi="等线(中文正文)" w:cs="等线(中文正文)" w:eastAsia="等线(中文正文)"/>
          <w:b w:val="false"/>
          <w:i w:val="false"/>
          <w:sz w:val="20"/>
        </w:rPr>
        <w:t>发言人1 答：在过去几年里，公司的其他收益项中，地方政府补贴是一个重要组成部分，增速非常快，甚至超过了收入增速。基于逻辑推演和公司财务表现，我们认为公司未来不太会受到这方面的影响。此外，目前的经营策略提供了较好的安全垫，将极端情况控制在可控范围内。</w:t>
      </w:r>
    </w:p>
    <w:p>
      <w:r>
        <w:rPr>
          <w:rFonts w:ascii="等线(中文正文)" w:hAnsi="等线(中文正文)" w:cs="等线(中文正文)" w:eastAsia="等线(中文正文)"/>
          <w:b w:val="false"/>
          <w:i w:val="false"/>
          <w:sz w:val="20"/>
        </w:rPr>
        <w:t/>
      </w:r>
    </w:p>
    <w:p>
      <w:pPr>
        <w:pStyle w:val="ab"/>
      </w:pPr>
      <w:r>
        <w:t>发言人1 问：公司收入构成的具体情况是怎样的？</w:t>
      </w:r>
    </w:p>
    <w:p>
      <w:r>
        <w:rPr>
          <w:rFonts w:ascii="等线(中文正文)" w:hAnsi="等线(中文正文)" w:cs="等线(中文正文)" w:eastAsia="等线(中文正文)"/>
          <w:b w:val="false"/>
          <w:i w:val="false"/>
          <w:sz w:val="20"/>
        </w:rPr>
        <w:t>发言人1 答：公司的收入主要分为两个部分：营收和计入其他收益的补贴。其中，营收占比约为80%，这部分收入中60%来自票款收入，另外20%来源于与地方政府签订的运力采购协议，即当市场价格低于保底价格时，地方政府补偿差价。其余20%的广义补贴中，有20%计入营收，剩余80%计入其他收益，包括民航局局补、疆补和其他零星补贴等。</w:t>
      </w:r>
    </w:p>
    <w:p>
      <w:r>
        <w:rPr>
          <w:rFonts w:ascii="等线(中文正文)" w:hAnsi="等线(中文正文)" w:cs="等线(中文正文)" w:eastAsia="等线(中文正文)"/>
          <w:b w:val="false"/>
          <w:i w:val="false"/>
          <w:sz w:val="20"/>
        </w:rPr>
        <w:t/>
      </w:r>
    </w:p>
    <w:p>
      <w:pPr>
        <w:pStyle w:val="ab"/>
      </w:pPr>
      <w:r>
        <w:t>发言人1 问：公司目前采用的运力采购模式相较于友商有何优势？</w:t>
      </w:r>
    </w:p>
    <w:p>
      <w:r>
        <w:rPr>
          <w:rFonts w:ascii="等线(中文正文)" w:hAnsi="等线(中文正文)" w:cs="等线(中文正文)" w:eastAsia="等线(中文正文)"/>
          <w:b w:val="false"/>
          <w:i w:val="false"/>
          <w:sz w:val="20"/>
        </w:rPr>
        <w:t>发言人1 答：在高油价环境下，公司的运力采购模式更具经营韧性。公司与机构客户的运力采购模式有有限额和无限额两种，其中80%的运力通过有限额模式锁定，但能享受市场波动带来的收益弹性。由于公司航线收益相对固定，而市场接受度和经营成本会影响保底价格设定，公司在与地方政府谈判时具有较强的议价能力，能够在市场景气时提高价格，从而在油价上涨时保持较好的经营表现。</w:t>
      </w:r>
    </w:p>
    <w:p>
      <w:r>
        <w:rPr>
          <w:rFonts w:ascii="等线(中文正文)" w:hAnsi="等线(中文正文)" w:cs="等线(中文正文)" w:eastAsia="等线(中文正文)"/>
          <w:b w:val="false"/>
          <w:i w:val="false"/>
          <w:sz w:val="20"/>
        </w:rPr>
        <w:t/>
      </w:r>
    </w:p>
    <w:p>
      <w:pPr>
        <w:pStyle w:val="ab"/>
      </w:pPr>
      <w:r>
        <w:t>发言人1 问：公司如何解决飞行员短缺问题，并展望未来运力情况？</w:t>
      </w:r>
    </w:p>
    <w:p>
      <w:r>
        <w:rPr>
          <w:rFonts w:ascii="等线(中文正文)" w:hAnsi="等线(中文正文)" w:cs="等线(中文正文)" w:eastAsia="等线(中文正文)"/>
          <w:b w:val="false"/>
          <w:i w:val="false"/>
          <w:sz w:val="20"/>
        </w:rPr>
        <w:t>发言人1 答：公司正面临飞行员短缺问题，但预计到2028年将会实现人机平衡，这将带动未来几年飞行小时数的提升。对于未来运力展望，公司预计机队增速为4%到5%，同时明年上半年6家停产的320飞机回归，以及飞行员补充带来的飞行小时数增长，将共同构成运力增长的三部分。其中，仅有机队增长需要占用资本开支和折旧成本。</w:t>
      </w:r>
    </w:p>
    <w:p>
      <w:r>
        <w:rPr>
          <w:rFonts w:ascii="等线(中文正文)" w:hAnsi="等线(中文正文)" w:cs="等线(中文正文)" w:eastAsia="等线(中文正文)"/>
          <w:b w:val="false"/>
          <w:i w:val="false"/>
          <w:sz w:val="20"/>
        </w:rPr>
        <w:t/>
      </w:r>
    </w:p>
    <w:p>
      <w:pPr>
        <w:pStyle w:val="ab"/>
      </w:pPr>
      <w:r>
        <w:t>发言人1 问：公司未来的业绩弹性主要来自哪里？</w:t>
      </w:r>
    </w:p>
    <w:p>
      <w:r>
        <w:rPr>
          <w:rFonts w:ascii="等线(中文正文)" w:hAnsi="等线(中文正文)" w:cs="等线(中文正文)" w:eastAsia="等线(中文正文)"/>
          <w:b w:val="false"/>
          <w:i w:val="false"/>
          <w:sz w:val="20"/>
        </w:rPr>
        <w:t>发言人1 答：公司未来的业绩弹性主要来源于运力扩张带来的收入增长，尤其是毛利率较高的部分。根据测算，公司未来两年的SK增速可以达到13%左右，其中只有约4%到5%是由于机队规模的增长，而大部分增长来自于运力扩张中毛利率更高的收入占比提升。</w:t>
      </w:r>
    </w:p>
    <w:p>
      <w:r>
        <w:rPr>
          <w:rFonts w:ascii="等线(中文正文)" w:hAnsi="等线(中文正文)" w:cs="等线(中文正文)" w:eastAsia="等线(中文正文)"/>
          <w:b w:val="false"/>
          <w:i w:val="false"/>
          <w:sz w:val="20"/>
        </w:rPr>
        <w:t/>
      </w:r>
    </w:p>
    <w:p>
      <w:pPr>
        <w:pStyle w:val="ab"/>
      </w:pPr>
      <w:r>
        <w:t>发言人1 问：公司所处的支线航空行业有何特点及优势？</w:t>
      </w:r>
    </w:p>
    <w:p>
      <w:r>
        <w:rPr>
          <w:rFonts w:ascii="等线(中文正文)" w:hAnsi="等线(中文正文)" w:cs="等线(中文正文)" w:eastAsia="等线(中文正文)"/>
          <w:b w:val="false"/>
          <w:i w:val="false"/>
          <w:sz w:val="20"/>
        </w:rPr>
        <w:t>发言人1 答：公司作为支线航空行业的领头羊，覆盖全国航点超过40%，并且拥有90%以上的航线为独飞航线，这使得公司在市场竞争中占据较大优势。此外，政策端自2024年底民航补贴新政修改以来，公司的平均补贴单价逐年上涨，未来仍有较大增长潜力。</w:t>
      </w:r>
    </w:p>
    <w:p>
      <w:r>
        <w:rPr>
          <w:rFonts w:ascii="等线(中文正文)" w:hAnsi="等线(中文正文)" w:cs="等线(中文正文)" w:eastAsia="等线(中文正文)"/>
          <w:b w:val="false"/>
          <w:i w:val="false"/>
          <w:sz w:val="20"/>
        </w:rPr>
        <w:t/>
      </w:r>
    </w:p>
    <w:p>
      <w:pPr>
        <w:pStyle w:val="ab"/>
      </w:pPr>
      <w:r>
        <w:t>发言人1 问：公司在运营层面具备哪些独特优势？</w:t>
      </w:r>
    </w:p>
    <w:p>
      <w:r>
        <w:rPr>
          <w:rFonts w:ascii="等线(中文正文)" w:hAnsi="等线(中文正文)" w:cs="等线(中文正文)" w:eastAsia="等线(中文正文)"/>
          <w:b w:val="false"/>
          <w:i w:val="false"/>
          <w:sz w:val="20"/>
        </w:rPr>
        <w:t>发言人1 答：公司在运营方面具有显著优势，比如其909飞机与三大航基地分布不完全重合，且公司专注于支线航空经营，使得公司在市场扩大时能够进一步扩张市场份额。</w:t>
      </w:r>
    </w:p>
    <w:p>
      <w:r>
        <w:rPr>
          <w:rFonts w:ascii="等线(中文正文)" w:hAnsi="等线(中文正文)" w:cs="等线(中文正文)" w:eastAsia="等线(中文正文)"/>
          <w:b w:val="false"/>
          <w:i w:val="false"/>
          <w:sz w:val="20"/>
        </w:rPr>
        <w:t/>
      </w:r>
    </w:p>
    <w:p>
      <w:pPr>
        <w:pStyle w:val="ab"/>
      </w:pPr>
      <w:r>
        <w:t>发言人1 问：在当前油价压力下，公司是否有望实现正向盈利？</w:t>
      </w:r>
    </w:p>
    <w:p>
      <w:r>
        <w:rPr>
          <w:rFonts w:ascii="等线(中文正文)" w:hAnsi="等线(中文正文)" w:cs="等线(中文正文)" w:eastAsia="等线(中文正文)"/>
          <w:b w:val="false"/>
          <w:i w:val="false"/>
          <w:sz w:val="20"/>
        </w:rPr>
        <w:t>发言人1 答：是的，在今年的油价高压之下，公司仍有可能实现正向盈利。上半年公司已披露业绩预告，业绩正增长并实现盈利，预计下半年暑运盈利能力将强于第四季度的亏损能力，因此公司今年有很大概率维持利润水平。</w:t>
      </w:r>
    </w:p>
    <w:p>
      <w:r>
        <w:rPr>
          <w:rFonts w:ascii="等线(中文正文)" w:hAnsi="等线(中文正文)" w:cs="等线(中文正文)" w:eastAsia="等线(中文正文)"/>
          <w:b w:val="false"/>
          <w:i w:val="false"/>
          <w:sz w:val="20"/>
        </w:rPr>
        <w:t/>
      </w:r>
    </w:p>
    <w:p>
      <w:pPr>
        <w:pStyle w:val="ab"/>
      </w:pPr>
      <w:r>
        <w:t>发言人1 问：对于明年和后年的油价走势，公司估值情况如何？</w:t>
      </w:r>
    </w:p>
    <w:p>
      <w:r>
        <w:rPr>
          <w:rFonts w:ascii="等线(中文正文)" w:hAnsi="等线(中文正文)" w:cs="等线(中文正文)" w:eastAsia="等线(中文正文)"/>
          <w:b w:val="false"/>
          <w:i w:val="false"/>
          <w:sz w:val="20"/>
        </w:rPr>
        <w:t>发言人1 答：若明年油价有所下行，按照业绩预测，公司的估值将变得更为便宜，目前公司股价位置较低，单机市值处于上市以来的较低区间，且过去一段时间的调整使得筹码相对干净。因此，无论从基本面弹性、股价位置还是估值来看，公司都是性价比较高的行业，并且是重点推荐的投资标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2026-08-25T17:21:23Z</dcterms:created>
  <dc:creator>Apache POI</dc:creator>
</cp:coreProperties>
</file>