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浙商机械 【杭叉集团】2026年半年报业绩交流会 260825_导读</w:t>
      </w:r>
    </w:p>
    <w:p>
      <w:pPr>
        <w:pStyle w:val="a0"/>
        <w:jc w:val="center"/>
      </w:pPr>
      <w:r>
        <w:t>2026年08月26日 01:18</w:t>
      </w:r>
    </w:p>
    <w:p>
      <w:pPr>
        <w:pStyle w:val="a7"/>
      </w:pPr>
      <w:r>
        <w:t>关键词</w:t>
      </w:r>
    </w:p>
    <w:p>
      <w:r>
        <w:rPr>
          <w:rFonts w:ascii="等线(中文正文)" w:hAnsi="等线(中文正文)" w:cs="等线(中文正文)" w:eastAsia="等线(中文正文)"/>
          <w:b w:val="false"/>
          <w:i w:val="false"/>
          <w:sz w:val="20"/>
        </w:rPr>
        <w:t xml:space="preserve">业绩 增长 净利润 收入 海外 国内 锂电 电动化 汇兑 费用率 排量 战略重心 终端需求 市占率 高质量增长 智能化产品 电动化产品 全球化战略 海外产能 锂电池消费税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浙商机械航厦集团举行2026年半年报业绩交流会，明确会议专为特定机构投资者和嘉宾举行，强调所有观点仅为个人意见，不作为投资指南。会议强调遵守监管与保密规定，对内容泄露保留法律追责权利。集团重点阐述其智能化战略，推出智能物流机器人等新产品，展现出对未来的乐观预期，鼓励与投资者加强联系，携手探索行业未来。</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航泰集团2026年半年报业绩稳健增长，未来智能物流机器人发展受看好</w:t>
      </w:r>
    </w:p>
    <w:p>
      <w:r>
        <w:rPr>
          <w:rFonts w:ascii="等线(中文正文)" w:hAnsi="等线(中文正文)" w:cs="等线(中文正文)" w:eastAsia="等线(中文正文)"/>
          <w:b w:val="false"/>
          <w:i w:val="false"/>
          <w:sz w:val="20"/>
        </w:rPr>
        <w:t>浙商证券研究所提醒参会者注意信息保密，随后介绍航泰集团2026年半年报业绩稳健增长情况，收入和净利润均实现同比增长，略超市场预期。航泰集团不仅在制造业稳健发展，还通过收购机器人公司增强科技属性，未来智能物流机器人发展有望提升公司业绩和估值。</w:t>
      </w:r>
    </w:p>
    <w:p>
      <w:r>
        <w:rPr>
          <w:rFonts w:ascii="等线(中文正文)" w:hAnsi="等线(中文正文)" w:cs="等线(中文正文)" w:eastAsia="等线(中文正文)"/>
          <w:b w:val="false"/>
          <w:i w:val="false"/>
          <w:sz w:val="20"/>
        </w:rPr>
        <w:t/>
      </w:r>
    </w:p>
    <w:p>
      <w:pPr>
        <w:pStyle w:val="ab"/>
        <w:numPr>
          <w:numId w:val="2"/>
        </w:numPr>
      </w:pPr>
      <w:r>
        <w:t>02:11 公司半年报稳健增长，海外收入占比提升</w:t>
      </w:r>
    </w:p>
    <w:p>
      <w:r>
        <w:rPr>
          <w:rFonts w:ascii="等线(中文正文)" w:hAnsi="等线(中文正文)" w:cs="等线(中文正文)" w:eastAsia="等线(中文正文)"/>
          <w:b w:val="false"/>
          <w:i w:val="false"/>
          <w:sz w:val="20"/>
        </w:rPr>
        <w:t>对话主要围绕公司半年报的财务数据和经营情况展开，指出公司在收入、利润等方面稳健完成年初设定的目标，国内与海外销售均呈现增长态势，尤其是海外收入占比逐渐提升。电动化产品收入占比增加，毛利潜力大，同时公司通过上游原材料降本计划有效应对外部成本压力，整体毛利保持稳健增长。</w:t>
      </w:r>
    </w:p>
    <w:p>
      <w:r>
        <w:rPr>
          <w:rFonts w:ascii="等线(中文正文)" w:hAnsi="等线(中文正文)" w:cs="等线(中文正文)" w:eastAsia="等线(中文正文)"/>
          <w:b w:val="false"/>
          <w:i w:val="false"/>
          <w:sz w:val="20"/>
        </w:rPr>
        <w:t/>
      </w:r>
    </w:p>
    <w:p>
      <w:pPr>
        <w:pStyle w:val="ab"/>
        <w:numPr>
          <w:numId w:val="3"/>
        </w:numPr>
      </w:pPr>
      <w:r>
        <w:t>05:41 汇兑影响与主营业务增长分析</w:t>
      </w:r>
    </w:p>
    <w:p>
      <w:r>
        <w:rPr>
          <w:rFonts w:ascii="等线(中文正文)" w:hAnsi="等线(中文正文)" w:cs="等线(中文正文)" w:eastAsia="等线(中文正文)"/>
          <w:b w:val="false"/>
          <w:i w:val="false"/>
          <w:sz w:val="20"/>
        </w:rPr>
        <w:t>对话深入探讨了汇率变动对上半年业绩的显著影响，包括直接汇兑损失和毛利端的间接影响，以及如何通过调整计算方法来观察核心业务的真实增长。尽管面临汇率风险和部分收益稀释，但公司通过主营业务实现了亮眼的33%增长，剔除非金因素后增速接近50%，展现了强劲的市场竞争力和需求韧性，尤其是在海外大车和高油价环境下的表现。</w:t>
      </w:r>
    </w:p>
    <w:p>
      <w:r>
        <w:rPr>
          <w:rFonts w:ascii="等线(中文正文)" w:hAnsi="等线(中文正文)" w:cs="等线(中文正文)" w:eastAsia="等线(中文正文)"/>
          <w:b w:val="false"/>
          <w:i w:val="false"/>
          <w:sz w:val="20"/>
        </w:rPr>
        <w:t/>
      </w:r>
    </w:p>
    <w:p>
      <w:pPr>
        <w:pStyle w:val="ab"/>
        <w:numPr>
          <w:numId w:val="4"/>
        </w:numPr>
      </w:pPr>
      <w:r>
        <w:t>09:09 公司战略重心转向海外市场，科技日展示技术落地成果</w:t>
      </w:r>
    </w:p>
    <w:p>
      <w:r>
        <w:rPr>
          <w:rFonts w:ascii="等线(中文正文)" w:hAnsi="等线(中文正文)" w:cs="等线(中文正文)" w:eastAsia="等线(中文正文)"/>
          <w:b w:val="false"/>
          <w:i w:val="false"/>
          <w:sz w:val="20"/>
        </w:rPr>
        <w:t>公司上半年稳健执行内销策略，海外战略调整带来显著成绩，锂电产品增速明显。战略重心向海外转移，设立海外分子公司，投运海外产能，深化国际合作，聚焦新兴市场与存量市场，推动全球化战略。科技日展示技术落地成果，强调模型与数据应用，展现垂直场景布局与产品功能，明确技术发展方向。</w:t>
      </w:r>
    </w:p>
    <w:p>
      <w:r>
        <w:rPr>
          <w:rFonts w:ascii="等线(中文正文)" w:hAnsi="等线(中文正文)" w:cs="等线(中文正文)" w:eastAsia="等线(中文正文)"/>
          <w:b w:val="false"/>
          <w:i w:val="false"/>
          <w:sz w:val="20"/>
        </w:rPr>
        <w:t/>
      </w:r>
    </w:p>
    <w:p>
      <w:pPr>
        <w:pStyle w:val="ab"/>
        <w:numPr>
          <w:numId w:val="5"/>
        </w:numPr>
      </w:pPr>
      <w:r>
        <w:t>12:44 智能化产品收入增长与下半年经营风险分析</w:t>
      </w:r>
    </w:p>
    <w:p>
      <w:r>
        <w:rPr>
          <w:rFonts w:ascii="等线(中文正文)" w:hAnsi="等线(中文正文)" w:cs="等线(中文正文)" w:eastAsia="等线(中文正文)"/>
          <w:b w:val="false"/>
          <w:i w:val="false"/>
          <w:sz w:val="20"/>
        </w:rPr>
        <w:t>上半年智能化产品实现7.9亿营业收入，同比增长30%，主要由杭州果子公司贡献，集团渠道销售量较小。下半年面临锂电池消费税增加及汇率波动风险，预计整体增速在5到8个点左右。公司正努力克服新增成本压力，强调场景理解和数据复用效率提升。</w:t>
      </w:r>
    </w:p>
    <w:p>
      <w:r>
        <w:rPr>
          <w:rFonts w:ascii="等线(中文正文)" w:hAnsi="等线(中文正文)" w:cs="等线(中文正文)" w:eastAsia="等线(中文正文)"/>
          <w:b w:val="false"/>
          <w:i w:val="false"/>
          <w:sz w:val="20"/>
        </w:rPr>
        <w:t/>
      </w:r>
    </w:p>
    <w:p>
      <w:pPr>
        <w:pStyle w:val="ab"/>
        <w:numPr>
          <w:numId w:val="6"/>
        </w:numPr>
      </w:pPr>
      <w:r>
        <w:t>16:17 杭叉叉车机器人出货预期与数据优势</w:t>
      </w:r>
    </w:p>
    <w:p>
      <w:r>
        <w:rPr>
          <w:rFonts w:ascii="等线(中文正文)" w:hAnsi="等线(中文正文)" w:cs="等线(中文正文)" w:eastAsia="等线(中文正文)"/>
          <w:b w:val="false"/>
          <w:i w:val="false"/>
          <w:sz w:val="20"/>
        </w:rPr>
        <w:t>对话围绕杭叉叉车机器人短期和中长期的出货预期及销售目标展开，预计三年内实现1万台智能叉车出货，覆盖多种使用场景和车型。同时，讨论了杭叉作为行业龙头在数据采集和制造成本上的优势，强调数据价值及物理世界应用的门槛。</w:t>
      </w:r>
    </w:p>
    <w:p>
      <w:r>
        <w:rPr>
          <w:rFonts w:ascii="等线(中文正文)" w:hAnsi="等线(中文正文)" w:cs="等线(中文正文)" w:eastAsia="等线(中文正文)"/>
          <w:b w:val="false"/>
          <w:i w:val="false"/>
          <w:sz w:val="20"/>
        </w:rPr>
        <w:t/>
      </w:r>
    </w:p>
    <w:p>
      <w:pPr>
        <w:pStyle w:val="ab"/>
        <w:numPr>
          <w:numId w:val="7"/>
        </w:numPr>
      </w:pPr>
      <w:r>
        <w:t>19:04 无人叉车与数据驱动的智能升级</w:t>
      </w:r>
    </w:p>
    <w:p>
      <w:r>
        <w:rPr>
          <w:rFonts w:ascii="等线(中文正文)" w:hAnsi="等线(中文正文)" w:cs="等线(中文正文)" w:eastAsia="等线(中文正文)"/>
          <w:b w:val="false"/>
          <w:i w:val="false"/>
          <w:sz w:val="20"/>
        </w:rPr>
        <w:t>对话探讨了无人叉车作为数据采集载体的优势，强调了其在工业场景中低成本获取数据的能力，以及通过数据闭环促进智能升级的潜力。与人形机器人相比，无人叉车能更高效地滚动和循环数据，实现类似GPT时刻的技术突破。此外，还讨论了数据处理成本和场景分割的重要性，以及通过模型优化降低数据需求量的方法。</w:t>
      </w:r>
    </w:p>
    <w:p>
      <w:r>
        <w:rPr>
          <w:rFonts w:ascii="等线(中文正文)" w:hAnsi="等线(中文正文)" w:cs="等线(中文正文)" w:eastAsia="等线(中文正文)"/>
          <w:b w:val="false"/>
          <w:i w:val="false"/>
          <w:sz w:val="20"/>
        </w:rPr>
        <w:t/>
      </w:r>
    </w:p>
    <w:p>
      <w:pPr>
        <w:pStyle w:val="ab"/>
        <w:numPr>
          <w:numId w:val="8"/>
        </w:numPr>
      </w:pPr>
      <w:r>
        <w:t>22:10 聚深产品与海外增速探讨</w:t>
      </w:r>
    </w:p>
    <w:p>
      <w:r>
        <w:rPr>
          <w:rFonts w:ascii="等线(中文正文)" w:hAnsi="等线(中文正文)" w:cs="等线(中文正文)" w:eastAsia="等线(中文正文)"/>
          <w:b w:val="false"/>
          <w:i w:val="false"/>
          <w:sz w:val="20"/>
        </w:rPr>
        <w:t>对话围绕聚深产品的市场放量时间与海外制造业投资限制影响展开。产品方表示将控制节奏，优先确保产品高可靠性与鲁棒性，目标在三年内实现性能提升，不会晚于预期。关于海外增速，提及东南亚注塑机订单同比转负可能与制造业外移限制相关。</w:t>
      </w:r>
    </w:p>
    <w:p>
      <w:r>
        <w:rPr>
          <w:rFonts w:ascii="等线(中文正文)" w:hAnsi="等线(中文正文)" w:cs="等线(中文正文)" w:eastAsia="等线(中文正文)"/>
          <w:b w:val="false"/>
          <w:i w:val="false"/>
          <w:sz w:val="20"/>
        </w:rPr>
        <w:t/>
      </w:r>
    </w:p>
    <w:p>
      <w:pPr>
        <w:pStyle w:val="ab"/>
        <w:numPr>
          <w:numId w:val="9"/>
        </w:numPr>
      </w:pPr>
      <w:r>
        <w:t>24:40 全球叉车市场增速与海外布局分析</w:t>
      </w:r>
    </w:p>
    <w:p>
      <w:r>
        <w:rPr>
          <w:rFonts w:ascii="等线(中文正文)" w:hAnsi="等线(中文正文)" w:cs="等线(中文正文)" w:eastAsia="等线(中文正文)"/>
          <w:b w:val="false"/>
          <w:i w:val="false"/>
          <w:sz w:val="20"/>
        </w:rPr>
        <w:t>对话讨论了2023年上半年全球各区域叉车市场的表现及明年展望。欧洲市场表现超预期，增速达15%-20%，东南亚市场增速强劲，南美则较以往增速放缓。叉车作为通用生产资料，需求受单一行业或区域影响较小，全球工业化进程保障了其需求的刚性与韧性。中国品牌正通过提高市占率和抢夺增量市场来增强竞争力。海外投资方面，企业已完成主要布局，旨在应对潜在的贸易风险，东南亚市场成为重点布局区域。</w:t>
      </w:r>
    </w:p>
    <w:p>
      <w:r>
        <w:rPr>
          <w:rFonts w:ascii="等线(中文正文)" w:hAnsi="等线(中文正文)" w:cs="等线(中文正文)" w:eastAsia="等线(中文正文)"/>
          <w:b w:val="false"/>
          <w:i w:val="false"/>
          <w:sz w:val="20"/>
        </w:rPr>
        <w:t/>
      </w:r>
    </w:p>
    <w:p>
      <w:pPr>
        <w:pStyle w:val="ab"/>
        <w:numPr>
          <w:numId w:val="10"/>
        </w:numPr>
      </w:pPr>
      <w:r>
        <w:t>26:50 叉车行业分析与北美市场趋势</w:t>
      </w:r>
    </w:p>
    <w:p>
      <w:r>
        <w:rPr>
          <w:rFonts w:ascii="等线(中文正文)" w:hAnsi="等线(中文正文)" w:cs="等线(中文正文)" w:eastAsia="等线(中文正文)"/>
          <w:b w:val="false"/>
          <w:i w:val="false"/>
          <w:sz w:val="20"/>
        </w:rPr>
        <w:t>讨论了北美市场增速持平的原因，指出墨西哥和美国均有所影响，但叉车行业与IDC或基建关联性弱，其韧性源于覆盖行业广泛。提及美国关税影响导致部分市场收益下降，海外产能规划调整，如泰国工厂生产高级产品以应对美国双管税。毛利率提升主要因锂电产品收入占比增加及海外高售价市场收入占比提升，同时减少低价竞争区域市场投入。</w:t>
      </w:r>
    </w:p>
    <w:p>
      <w:r>
        <w:rPr>
          <w:rFonts w:ascii="等线(中文正文)" w:hAnsi="等线(中文正文)" w:cs="等线(中文正文)" w:eastAsia="等线(中文正文)"/>
          <w:b w:val="false"/>
          <w:i w:val="false"/>
          <w:sz w:val="20"/>
        </w:rPr>
        <w:t/>
      </w:r>
    </w:p>
    <w:p>
      <w:pPr>
        <w:pStyle w:val="ab"/>
        <w:numPr>
          <w:numId w:val="11"/>
        </w:numPr>
      </w:pPr>
      <w:r>
        <w:t>31:10 利润增速与成本控制策略解析</w:t>
      </w:r>
    </w:p>
    <w:p>
      <w:r>
        <w:rPr>
          <w:rFonts w:ascii="等线(中文正文)" w:hAnsi="等线(中文正文)" w:cs="等线(中文正文)" w:eastAsia="等线(中文正文)"/>
          <w:b w:val="false"/>
          <w:i w:val="false"/>
          <w:sz w:val="20"/>
        </w:rPr>
        <w:t>对话深入探讨了利润增速高于收入增速的原因，主要归结于行业低价竞争减少、成本控制策略以及汇率影响下的定价调整。企业通过将非核心部件外包、强化核心部件自产以及有效压低供应商成本，实现了利润的快速增长。面对汇率波动，企业采取了灵活的产品配置调整策略，而非全面调价，以维持市场竞争力和海外扩张计划的连贯性。</w:t>
      </w:r>
    </w:p>
    <w:p>
      <w:r>
        <w:rPr>
          <w:rFonts w:ascii="等线(中文正文)" w:hAnsi="等线(中文正文)" w:cs="等线(中文正文)" w:eastAsia="等线(中文正文)"/>
          <w:b w:val="false"/>
          <w:i w:val="false"/>
          <w:sz w:val="20"/>
        </w:rPr>
        <w:t/>
      </w:r>
    </w:p>
    <w:p>
      <w:pPr>
        <w:pStyle w:val="ab"/>
        <w:numPr>
          <w:numId w:val="12"/>
        </w:numPr>
      </w:pPr>
      <w:r>
        <w:t>33:24 单机智能产品盈利能力与成本分析</w:t>
      </w:r>
    </w:p>
    <w:p>
      <w:r>
        <w:rPr>
          <w:rFonts w:ascii="等线(中文正文)" w:hAnsi="等线(中文正文)" w:cs="等线(中文正文)" w:eastAsia="等线(中文正文)"/>
          <w:b w:val="false"/>
          <w:i w:val="false"/>
          <w:sz w:val="20"/>
        </w:rPr>
        <w:t>讨论了单机智能产品在盈利能力方面，尤其是毛利率和净利率的预期水平，对比传统智能物流模式，强调了新产品的销售模式差异，如减少工程服务投入转化为利润，以及通过规模化生产降低成本的可能性，预估未来产品售价将等同于一台电叉车加一个工人的成本，中长期毛利预期可观。</w:t>
      </w:r>
    </w:p>
    <w:p>
      <w:r>
        <w:rPr>
          <w:rFonts w:ascii="等线(中文正文)" w:hAnsi="等线(中文正文)" w:cs="等线(中文正文)" w:eastAsia="等线(中文正文)"/>
          <w:b w:val="false"/>
          <w:i w:val="false"/>
          <w:sz w:val="20"/>
        </w:rPr>
        <w:t/>
      </w:r>
    </w:p>
    <w:p>
      <w:pPr>
        <w:pStyle w:val="ab"/>
        <w:numPr>
          <w:numId w:val="13"/>
        </w:numPr>
      </w:pPr>
      <w:r>
        <w:t>35:58 毛利率变化与海外市场拓展策略探讨</w:t>
      </w:r>
    </w:p>
    <w:p>
      <w:r>
        <w:rPr>
          <w:rFonts w:ascii="等线(中文正文)" w:hAnsi="等线(中文正文)" w:cs="等线(中文正文)" w:eastAsia="等线(中文正文)"/>
          <w:b w:val="false"/>
          <w:i w:val="false"/>
          <w:sz w:val="20"/>
        </w:rPr>
        <w:t>对话围绕毛利率变化原因展开，讨论了工商与产品结构对毛利率的影响，同时分享了集团在北美和欧洲市场的渠道赋能经验，特别提及智能化产品在美国的落地情况，以及未来通过叉车渠道放大通用型智能产品销售的规划。</w:t>
      </w:r>
    </w:p>
    <w:p>
      <w:r>
        <w:rPr>
          <w:rFonts w:ascii="等线(中文正文)" w:hAnsi="等线(中文正文)" w:cs="等线(中文正文)" w:eastAsia="等线(中文正文)"/>
          <w:b w:val="false"/>
          <w:i w:val="false"/>
          <w:sz w:val="20"/>
        </w:rPr>
        <w:t/>
      </w:r>
    </w:p>
    <w:p>
      <w:pPr>
        <w:pStyle w:val="ab"/>
        <w:numPr>
          <w:numId w:val="14"/>
        </w:numPr>
      </w:pPr>
      <w:r>
        <w:t>38:40 海外区域收入占比与增速分析</w:t>
      </w:r>
    </w:p>
    <w:p>
      <w:r>
        <w:rPr>
          <w:rFonts w:ascii="等线(中文正文)" w:hAnsi="等线(中文正文)" w:cs="等线(中文正文)" w:eastAsia="等线(中文正文)"/>
          <w:b w:val="false"/>
          <w:i w:val="false"/>
          <w:sz w:val="20"/>
        </w:rPr>
        <w:t>对话围绕海外各区域市场收入占比及增速展开，指出新市场与欧美市场收入各占一半，其中欧洲占比上升，北美下降；新兴市场中东南亚增速显著，南美下滑。管理层强调应对汇率挑战及稳健发展策略，同时展望未来智能化战略，表达对公司长期发展的信心。</w:t>
      </w:r>
    </w:p>
    <w:p>
      <w:r>
        <w:rPr>
          <w:rFonts w:ascii="等线(中文正文)" w:hAnsi="等线(中文正文)" w:cs="等线(中文正文)" w:eastAsia="等线(中文正文)"/>
          <w:b w:val="false"/>
          <w:i w:val="false"/>
          <w:sz w:val="20"/>
        </w:rPr>
        <w:t/>
      </w:r>
    </w:p>
    <w:p>
      <w:pPr>
        <w:pStyle w:val="a7"/>
      </w:pPr>
      <w:r>
        <w:t>发言总结</w:t>
      </w:r>
    </w:p>
    <w:p>
      <w:pPr>
        <w:pStyle w:val="ab"/>
        <w:numPr>
          <w:numId w:val="15"/>
        </w:numPr>
      </w:pPr>
      <w:r>
        <w:t>发言人1</w:t>
      </w:r>
    </w:p>
    <w:p>
      <w:r>
        <w:rPr>
          <w:rFonts w:ascii="等线(中文正文)" w:hAnsi="等线(中文正文)" w:cs="等线(中文正文)" w:eastAsia="等线(中文正文)"/>
          <w:b w:val="false"/>
          <w:i w:val="false"/>
          <w:sz w:val="20"/>
        </w:rPr>
        <w:t>主持并介绍了浙商机械航厦集团2026年半年报业绩交流会，强调会议参与资格、发言规范及保密要求，提醒遵守法律法规。会议旨在向机构投资者和受邀客户分享集团最新业绩，所有发言基于个人观点，不构成投资建议。他分享了集团业绩数据，包括同比增长的收入和净利润，强调国际市场成绩及海外收入增长。他特别看好智能物流机器人发展，讨论了汇率波动影响及应对策略。尽管面临挑战，集团保持稳健经营，对未来持乐观态度，鼓励投资者关注并期待更多好消息。整个发言聚焦集团业绩、挑战与展望，旨在增强投资者信心。</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问：恒大集团2026年半年报业绩情况如何？</w:t>
      </w:r>
    </w:p>
    <w:p>
      <w:r>
        <w:rPr>
          <w:rFonts w:ascii="等线(中文正文)" w:hAnsi="等线(中文正文)" w:cs="等线(中文正文)" w:eastAsia="等线(中文正文)"/>
          <w:b w:val="false"/>
          <w:i w:val="false"/>
          <w:sz w:val="20"/>
        </w:rPr>
        <w:t>发言人1 答：恒大集团2026年半年报业绩稳健，收入达到101亿，同比增长9%。净利润为12亿，同比增长9%，扣非后净利润增长约10%。公司在当前环境下表现出良好的抗风险能力，业绩略超市场预期，并且预计未来业绩将持续稳健增长，智能物流机器人等业务的发展将为公司带来较大提升空间。</w:t>
      </w:r>
    </w:p>
    <w:p>
      <w:r>
        <w:rPr>
          <w:rFonts w:ascii="等线(中文正文)" w:hAnsi="等线(中文正文)" w:cs="等线(中文正文)" w:eastAsia="等线(中文正文)"/>
          <w:b w:val="false"/>
          <w:i w:val="false"/>
          <w:sz w:val="20"/>
        </w:rPr>
        <w:t/>
      </w:r>
    </w:p>
    <w:p>
      <w:pPr>
        <w:pStyle w:val="ab"/>
      </w:pPr>
      <w:r>
        <w:t>发言人1 问：汇兑损失对公司业绩的影响有多大？</w:t>
      </w:r>
    </w:p>
    <w:p>
      <w:r>
        <w:rPr>
          <w:rFonts w:ascii="等线(中文正文)" w:hAnsi="等线(中文正文)" w:cs="等线(中文正文)" w:eastAsia="等线(中文正文)"/>
          <w:b w:val="false"/>
          <w:i w:val="false"/>
          <w:sz w:val="20"/>
        </w:rPr>
        <w:t>发言人1 答：上半年人民币对美元的汇兑损失约为1亿人民币，这对公司表观业绩有较大冲击。但考虑到海外收入占比提升、电差收入占比提升以及对上游核心部件的良好把控，公司仍实现了毛利的稳健增长。若剔除汇兑影响，公司核心主营利润增速更为亮眼，接近50%。</w:t>
      </w:r>
    </w:p>
    <w:p>
      <w:r>
        <w:rPr>
          <w:rFonts w:ascii="等线(中文正文)" w:hAnsi="等线(中文正文)" w:cs="等线(中文正文)" w:eastAsia="等线(中文正文)"/>
          <w:b w:val="false"/>
          <w:i w:val="false"/>
          <w:sz w:val="20"/>
        </w:rPr>
        <w:t/>
      </w:r>
    </w:p>
    <w:p>
      <w:pPr>
        <w:pStyle w:val="ab"/>
      </w:pPr>
      <w:r>
        <w:t>发言人1 问：公司整体经营状况及财务表现如何？</w:t>
      </w:r>
    </w:p>
    <w:p>
      <w:r>
        <w:rPr>
          <w:rFonts w:ascii="等线(中文正文)" w:hAnsi="等线(中文正文)" w:cs="等线(中文正文)" w:eastAsia="等线(中文正文)"/>
          <w:b w:val="false"/>
          <w:i w:val="false"/>
          <w:sz w:val="20"/>
        </w:rPr>
        <w:t>发言人1 答：公司按照年初设定的业绩目标稳步前进，收入、利润等方面已基本完成一半任务，展现了稳健的经营态势。上半年营业收入同比增长19%，净利润同比增长8.9%。扣费后净利润增速更加明显，达到约10%，同时上半年经济现金流也有着相似的增长趋势。国内和海外业务均实现稳步增长，国内和海外的毛利同比提升约2个百分点。尽管期间费用有所提升，但管理层成功控制了费用增长，保证了整体运营效率。</w:t>
      </w:r>
    </w:p>
    <w:p>
      <w:r>
        <w:rPr>
          <w:rFonts w:ascii="等线(中文正文)" w:hAnsi="等线(中文正文)" w:cs="等线(中文正文)" w:eastAsia="等线(中文正文)"/>
          <w:b w:val="false"/>
          <w:i w:val="false"/>
          <w:sz w:val="20"/>
        </w:rPr>
        <w:t/>
      </w:r>
    </w:p>
    <w:p>
      <w:pPr>
        <w:pStyle w:val="ab"/>
      </w:pPr>
      <w:r>
        <w:t>发言人1 问：不同区域及产品线的业绩表现怎样？</w:t>
      </w:r>
    </w:p>
    <w:p>
      <w:r>
        <w:rPr>
          <w:rFonts w:ascii="等线(中文正文)" w:hAnsi="等线(中文正文)" w:cs="等线(中文正文)" w:eastAsia="等线(中文正文)"/>
          <w:b w:val="false"/>
          <w:i w:val="false"/>
          <w:sz w:val="20"/>
        </w:rPr>
        <w:t>发言人1 答：国内方面，内销同比增长7.68%；海外方面，外销增长迅猛，同比增长12.69%，海外收入占比缓慢爬升。从产品角度看，电动化产品的收入占比在提升，尤其是锂电产品和电差产品，其毛利潜力大的产品在收入中的占比增加助力了整体毛利提升。尽管面临原材料成本浮动带来的风险因素，以及汇兑损失的影响，公司通过积极应对市场变化和加强成本控制，毛利依然保持稳健增长。</w:t>
      </w:r>
    </w:p>
    <w:p>
      <w:r>
        <w:rPr>
          <w:rFonts w:ascii="等线(中文正文)" w:hAnsi="等线(中文正文)" w:cs="等线(中文正文)" w:eastAsia="等线(中文正文)"/>
          <w:b w:val="false"/>
          <w:i w:val="false"/>
          <w:sz w:val="20"/>
        </w:rPr>
        <w:t/>
      </w:r>
    </w:p>
    <w:p>
      <w:pPr>
        <w:pStyle w:val="ab"/>
      </w:pPr>
      <w:r>
        <w:t>发言人1 问：三类车和不同车型的售价差异是如何影响市场交流的？</w:t>
      </w:r>
    </w:p>
    <w:p>
      <w:r>
        <w:rPr>
          <w:rFonts w:ascii="等线(中文正文)" w:hAnsi="等线(中文正文)" w:cs="等线(中文正文)" w:eastAsia="等线(中文正文)"/>
          <w:b w:val="false"/>
          <w:i w:val="false"/>
          <w:sz w:val="20"/>
        </w:rPr>
        <w:t>发言人1 答：因为三类车中包含不同吨位的大车，售价围绕吨位上下浮动较大。同时，产品平台配置不同也导致了售价偏差增大。此外，我们团队在市场交流时强调虽然大家关注产量，但实际数据显示，上半年需求保持稳健，尤其是海外大车需求增长明显，这与高油价环境推动了终端用户对锂电产品和中国品牌的接受度提升有关。</w:t>
      </w:r>
    </w:p>
    <w:p>
      <w:r>
        <w:rPr>
          <w:rFonts w:ascii="等线(中文正文)" w:hAnsi="等线(中文正文)" w:cs="等线(中文正文)" w:eastAsia="等线(中文正文)"/>
          <w:b w:val="false"/>
          <w:i w:val="false"/>
          <w:sz w:val="20"/>
        </w:rPr>
        <w:t/>
      </w:r>
    </w:p>
    <w:p>
      <w:pPr>
        <w:pStyle w:val="ab"/>
      </w:pPr>
      <w:r>
        <w:t>发言人1 问：上半年公司的内销和外销情况如何？</w:t>
      </w:r>
    </w:p>
    <w:p>
      <w:r>
        <w:rPr>
          <w:rFonts w:ascii="等线(中文正文)" w:hAnsi="等线(中文正文)" w:cs="等线(中文正文)" w:eastAsia="等线(中文正文)"/>
          <w:b w:val="false"/>
          <w:i w:val="false"/>
          <w:sz w:val="20"/>
        </w:rPr>
        <w:t>发言人1 答：上半年内销方面，我们坚持稳健执行落地节奏和稳的策略，市场需求相对稳健旺盛；外销方面，通过海外主动调整策略及终端需求边际变化，取得了较好的成绩。整体来看，锂电产品的增速优于传统用车，尤其在大车领域，趋势一致。</w:t>
      </w:r>
    </w:p>
    <w:p>
      <w:r>
        <w:rPr>
          <w:rFonts w:ascii="等线(中文正文)" w:hAnsi="等线(中文正文)" w:cs="等线(中文正文)" w:eastAsia="等线(中文正文)"/>
          <w:b w:val="false"/>
          <w:i w:val="false"/>
          <w:sz w:val="20"/>
        </w:rPr>
        <w:t/>
      </w:r>
    </w:p>
    <w:p>
      <w:pPr>
        <w:pStyle w:val="ab"/>
      </w:pPr>
      <w:r>
        <w:t>发言人1 问：今年上半年战略重心有何转变？</w:t>
      </w:r>
    </w:p>
    <w:p>
      <w:r>
        <w:rPr>
          <w:rFonts w:ascii="等线(中文正文)" w:hAnsi="等线(中文正文)" w:cs="等线(中文正文)" w:eastAsia="等线(中文正文)"/>
          <w:b w:val="false"/>
          <w:i w:val="false"/>
          <w:sz w:val="20"/>
        </w:rPr>
        <w:t>发言人1 答：今年是我们公司战略重心向海外转移的第一年，尽管海外市场已占据较大收入占比，但我们仍需通过灵活快速的战略决策和海外分子公司的设立来实现高质量利润增长。此外，考虑到国内市场环境和整合难度，以及新兴市场和存量市场的潜力，我们会更多地将战略重心转向海外。</w:t>
      </w:r>
    </w:p>
    <w:p>
      <w:r>
        <w:rPr>
          <w:rFonts w:ascii="等线(中文正文)" w:hAnsi="等线(中文正文)" w:cs="等线(中文正文)" w:eastAsia="等线(中文正文)"/>
          <w:b w:val="false"/>
          <w:i w:val="false"/>
          <w:sz w:val="20"/>
        </w:rPr>
        <w:t/>
      </w:r>
    </w:p>
    <w:p>
      <w:pPr>
        <w:pStyle w:val="ab"/>
      </w:pPr>
      <w:r>
        <w:t>发言人1 问：公司在海外市场的具体布局有哪些举措？</w:t>
      </w:r>
    </w:p>
    <w:p>
      <w:r>
        <w:rPr>
          <w:rFonts w:ascii="等线(中文正文)" w:hAnsi="等线(中文正文)" w:cs="等线(中文正文)" w:eastAsia="等线(中文正文)"/>
          <w:b w:val="false"/>
          <w:i w:val="false"/>
          <w:sz w:val="20"/>
        </w:rPr>
        <w:t>发言人1 答：今年上半年，我们在泰国和法国的产能正式投运，并积极与海外企业如曼尼通等建立合作关系，深化国际化的整体战略。同时，持续拓展海外渠道，加强与科技企业、制造业企业的合作，目前已有运营的海外产能，进一步打开海外增长空间。</w:t>
      </w:r>
    </w:p>
    <w:p>
      <w:r>
        <w:rPr>
          <w:rFonts w:ascii="等线(中文正文)" w:hAnsi="等线(中文正文)" w:cs="等线(中文正文)" w:eastAsia="等线(中文正文)"/>
          <w:b w:val="false"/>
          <w:i w:val="false"/>
          <w:sz w:val="20"/>
        </w:rPr>
        <w:t/>
      </w:r>
    </w:p>
    <w:p>
      <w:pPr>
        <w:pStyle w:val="ab"/>
      </w:pPr>
      <w:r>
        <w:t>发言人1 问：公司在智能化产品方面的发展和成果如何？</w:t>
      </w:r>
    </w:p>
    <w:p>
      <w:r>
        <w:rPr>
          <w:rFonts w:ascii="等线(中文正文)" w:hAnsi="等线(中文正文)" w:cs="等线(中文正文)" w:eastAsia="等线(中文正文)"/>
          <w:b w:val="false"/>
          <w:i w:val="false"/>
          <w:sz w:val="20"/>
        </w:rPr>
        <w:t>发言人1 答：今年上半年，智能化产品的营业收入实现了30%的增速，达到7.9亿元。L级别单机智能叉车已开始出货，其中杭州果子贡献较大。此外，我们在科技日活动中展示了模型落地、数据滚动、垂直场景布局及新产品形态的功能，强调了产品在实际场景中的应用和阶段性成果。</w:t>
      </w:r>
    </w:p>
    <w:p>
      <w:r>
        <w:rPr>
          <w:rFonts w:ascii="等线(中文正文)" w:hAnsi="等线(中文正文)" w:cs="等线(中文正文)" w:eastAsia="等线(中文正文)"/>
          <w:b w:val="false"/>
          <w:i w:val="false"/>
          <w:sz w:val="20"/>
        </w:rPr>
        <w:t/>
      </w:r>
    </w:p>
    <w:p>
      <w:pPr>
        <w:pStyle w:val="ab"/>
      </w:pPr>
      <w:r>
        <w:t>发言人1 问：下半年有哪些风险因素需要投资者关注？</w:t>
      </w:r>
    </w:p>
    <w:p>
      <w:r>
        <w:rPr>
          <w:rFonts w:ascii="等线(中文正文)" w:hAnsi="等线(中文正文)" w:cs="等线(中文正文)" w:eastAsia="等线(中文正文)"/>
          <w:b w:val="false"/>
          <w:i w:val="false"/>
          <w:sz w:val="20"/>
        </w:rPr>
        <w:t>发言人1 答：下半年有两个主要风险因素：一是从9月份开始征收锂电池消费税，对公司整车成本的影响约在0.3个点上下，管理层将努力克服这一新变化带来的压力。二是海外收入占比预计会比上半年更高，在不友好的汇率环境下，会对整个下半年的基数产生较大影响。因此，我们给市场的指引是保守看待，预计下半年增速在5到8个点左右。</w:t>
      </w:r>
    </w:p>
    <w:p>
      <w:r>
        <w:rPr>
          <w:rFonts w:ascii="等线(中文正文)" w:hAnsi="等线(中文正文)" w:cs="等线(中文正文)" w:eastAsia="等线(中文正文)"/>
          <w:b w:val="false"/>
          <w:i w:val="false"/>
          <w:sz w:val="20"/>
        </w:rPr>
        <w:t/>
      </w:r>
    </w:p>
    <w:p>
      <w:pPr>
        <w:pStyle w:val="ab"/>
      </w:pPr>
      <w:r>
        <w:t>发言人1 问：在AIC上推出的五款叉车机器人，短期和中长期是否有一个出货的预期和未来的销售目标？</w:t>
      </w:r>
    </w:p>
    <w:p>
      <w:r>
        <w:rPr>
          <w:rFonts w:ascii="等线(中文正文)" w:hAnsi="等线(中文正文)" w:cs="等线(中文正文)" w:eastAsia="等线(中文正文)"/>
          <w:b w:val="false"/>
          <w:i w:val="false"/>
          <w:sz w:val="20"/>
        </w:rPr>
        <w:t>发言人1 答：我们未来三年希望落地所有现有SKU，即所有工业车辆的ASR版本。初期以平面搬运、活动范围较小的叉车为主，逐步迭代产品形态，覆盖不同吨位、场景和车型。保守来看，出货1万台单机智能无人叉车是可达的目标，这将服务超过3000甚至5000个用户，带来15亿至20亿的收入。</w:t>
      </w:r>
    </w:p>
    <w:p>
      <w:r>
        <w:rPr>
          <w:rFonts w:ascii="等线(中文正文)" w:hAnsi="等线(中文正文)" w:cs="等线(中文正文)" w:eastAsia="等线(中文正文)"/>
          <w:b w:val="false"/>
          <w:i w:val="false"/>
          <w:sz w:val="20"/>
        </w:rPr>
        <w:t/>
      </w:r>
    </w:p>
    <w:p>
      <w:pPr>
        <w:pStyle w:val="ab"/>
      </w:pPr>
      <w:r>
        <w:t>发言人1 问：叉车龙头企业相较于初创企业在数据采集和制造成本上大概低多少比例？</w:t>
      </w:r>
    </w:p>
    <w:p>
      <w:r>
        <w:rPr>
          <w:rFonts w:ascii="等线(中文正文)" w:hAnsi="等线(中文正文)" w:cs="等线(中文正文)" w:eastAsia="等线(中文正文)"/>
          <w:b w:val="false"/>
          <w:i w:val="false"/>
          <w:sz w:val="20"/>
        </w:rPr>
        <w:t>发言人1 答：我们的优势在于拥有天然的数据采集载体——叉车，能边卖边做数据闭环，数据获取成本为零。相较于科创公司或做人形机器人的公司，我们无需额外投入来获取数据，而是在数据处理成本上有较大优势，通过清晰的场景分割和高效的数据复用方法降低数据处理成本。</w:t>
      </w:r>
    </w:p>
    <w:p>
      <w:r>
        <w:rPr>
          <w:rFonts w:ascii="等线(中文正文)" w:hAnsi="等线(中文正文)" w:cs="等线(中文正文)" w:eastAsia="等线(中文正文)"/>
          <w:b w:val="false"/>
          <w:i w:val="false"/>
          <w:sz w:val="20"/>
        </w:rPr>
        <w:t/>
      </w:r>
    </w:p>
    <w:p>
      <w:pPr>
        <w:pStyle w:val="ab"/>
      </w:pPr>
      <w:r>
        <w:t>发言人1 问：关于聚深产品的收入趋势性增长什么时候能实现？</w:t>
      </w:r>
    </w:p>
    <w:p>
      <w:r>
        <w:rPr>
          <w:rFonts w:ascii="等线(中文正文)" w:hAnsi="等线(中文正文)" w:cs="等线(中文正文)" w:eastAsia="等线(中文正文)"/>
          <w:b w:val="false"/>
          <w:i w:val="false"/>
          <w:sz w:val="20"/>
        </w:rPr>
        <w:t>发言人1 答：对于终端客户来说，对聚深这类智能叉车的需求较为刚性，一旦能够替代人力且经济效益可观，客户非常愿意尝试。尽管短期可能看不到爆发式增长，但我们希望先在内部工厂和原有AGV客户中积累数据，提高产品的可靠性和鲁棒性，确保产品在具备高竞争力时推向市场。</w:t>
      </w:r>
    </w:p>
    <w:p>
      <w:r>
        <w:rPr>
          <w:rFonts w:ascii="等线(中文正文)" w:hAnsi="等线(中文正文)" w:cs="等线(中文正文)" w:eastAsia="等线(中文正文)"/>
          <w:b w:val="false"/>
          <w:i w:val="false"/>
          <w:sz w:val="20"/>
        </w:rPr>
        <w:t/>
      </w:r>
    </w:p>
    <w:p>
      <w:pPr>
        <w:pStyle w:val="ab"/>
      </w:pPr>
      <w:r>
        <w:t>发言人1 问：在数据量未达到排量区间时，你们是如何进行产品或场景选择的？</w:t>
      </w:r>
    </w:p>
    <w:p>
      <w:r>
        <w:rPr>
          <w:rFonts w:ascii="等线(中文正文)" w:hAnsi="等线(中文正文)" w:cs="等线(中文正文)" w:eastAsia="等线(中文正文)"/>
          <w:b w:val="false"/>
          <w:i w:val="false"/>
          <w:sz w:val="20"/>
        </w:rPr>
        <w:t>发言人1 答：在数据量未到达排量区间时，我们会逐步挑选产品或场景，并慢慢进行销售。我们相信业绩爆发的时刻不会太晚，至少不会比大家预期的人形机器人刚性场景实现晚。目前，我们的团队正在紧锣密鼓地工作，比原计划提前兑现了L3的产品发布。</w:t>
      </w:r>
    </w:p>
    <w:p>
      <w:r>
        <w:rPr>
          <w:rFonts w:ascii="等线(中文正文)" w:hAnsi="等线(中文正文)" w:cs="等线(中文正文)" w:eastAsia="等线(中文正文)"/>
          <w:b w:val="false"/>
          <w:i w:val="false"/>
          <w:sz w:val="20"/>
        </w:rPr>
        <w:t/>
      </w:r>
    </w:p>
    <w:p>
      <w:pPr>
        <w:pStyle w:val="ab"/>
      </w:pPr>
      <w:r>
        <w:t>发言人1 问：海外增速情况如何？是否存在边际变化会影响市场表现？</w:t>
      </w:r>
    </w:p>
    <w:p>
      <w:r>
        <w:rPr>
          <w:rFonts w:ascii="等线(中文正文)" w:hAnsi="等线(中文正文)" w:cs="等线(中文正文)" w:eastAsia="等线(中文正文)"/>
          <w:b w:val="false"/>
          <w:i w:val="false"/>
          <w:sz w:val="20"/>
        </w:rPr>
        <w:t>发言人1 答：海外增速方面，比如东南亚的注塑机订单可能因国家对制造业外流的限制而出现同比转负的现象。整体来看，东南亚及各区域的同比增速与明年展望有所不同，欧洲市场的增速超出了年初预期的个位数，达到了接近20%的增长，而北美则稍微弱于预期。南美的增速不如既往，但东南亚整体仍符合我们给市场的预期。叉车行业由于不锁定单一行业，需求相对刚性和韧性较强。</w:t>
      </w:r>
    </w:p>
    <w:p>
      <w:r>
        <w:rPr>
          <w:rFonts w:ascii="等线(中文正文)" w:hAnsi="等线(中文正文)" w:cs="等线(中文正文)" w:eastAsia="等线(中文正文)"/>
          <w:b w:val="false"/>
          <w:i w:val="false"/>
          <w:sz w:val="20"/>
        </w:rPr>
        <w:t/>
      </w:r>
    </w:p>
    <w:p>
      <w:pPr>
        <w:pStyle w:val="ab"/>
      </w:pPr>
      <w:r>
        <w:t>发言人1 问：关于北美增速持平的原因，主要是受美国还是墨西哥影响？</w:t>
      </w:r>
    </w:p>
    <w:p>
      <w:r>
        <w:rPr>
          <w:rFonts w:ascii="等线(中文正文)" w:hAnsi="等线(中文正文)" w:cs="等线(中文正文)" w:eastAsia="等线(中文正文)"/>
          <w:b w:val="false"/>
          <w:i w:val="false"/>
          <w:sz w:val="20"/>
        </w:rPr>
        <w:t>发言人1 答：北美增速持平主要受美国和墨西哥的影响，而非加拿大。叉车行业与北美IDC或数据中心建设的关系较为中性，且关税扰动导致在北美市场难以获得高额利润，因此投入减少，从而影响了北美市场的增速。</w:t>
      </w:r>
    </w:p>
    <w:p>
      <w:r>
        <w:rPr>
          <w:rFonts w:ascii="等线(中文正文)" w:hAnsi="等线(中文正文)" w:cs="等线(中文正文)" w:eastAsia="等线(中文正文)"/>
          <w:b w:val="false"/>
          <w:i w:val="false"/>
          <w:sz w:val="20"/>
        </w:rPr>
        <w:t/>
      </w:r>
    </w:p>
    <w:p>
      <w:pPr>
        <w:pStyle w:val="ab"/>
      </w:pPr>
      <w:r>
        <w:t>发言人1 问：关于物流会员订单情况及收入增长的原因？</w:t>
      </w:r>
    </w:p>
    <w:p>
      <w:r>
        <w:rPr>
          <w:rFonts w:ascii="等线(中文正文)" w:hAnsi="等线(中文正文)" w:cs="等线(中文正文)" w:eastAsia="等线(中文正文)"/>
          <w:b w:val="false"/>
          <w:i w:val="false"/>
          <w:sz w:val="20"/>
        </w:rPr>
        <w:t>发言人1 答：物流会员订单情况良好，收入同比增长超过20%，达到约十个亿。这主要得益于大吨位叉车（包括非集装箱正面吊）销量的增长，以及智慧物流产品的收入贡献。此外，通过优化市场策略，放弃了一些低价竞争和高风险市场的业务，同时强化了高毛利区域市场的拓展，特别是欧洲市场的表现，使得海外收入占比提升，进一步推动了利润的增长。同时，通过成本控制和核心部件自产，增强了议价能力，降低了生产成本，这也对利润增速有所贡献。</w:t>
      </w:r>
    </w:p>
    <w:p>
      <w:r>
        <w:rPr>
          <w:rFonts w:ascii="等线(中文正文)" w:hAnsi="等线(中文正文)" w:cs="等线(中文正文)" w:eastAsia="等线(中文正文)"/>
          <w:b w:val="false"/>
          <w:i w:val="false"/>
          <w:sz w:val="20"/>
        </w:rPr>
        <w:t/>
      </w:r>
    </w:p>
    <w:p>
      <w:pPr>
        <w:pStyle w:val="ab"/>
      </w:pPr>
      <w:r>
        <w:t>发言人1 问：在汇率变动的情况下，我们海外产品的终端售价是否有提价现象？是否在跟客户的定价协议中考虑了汇率相关的价格调整政策以抵消汇率影响？</w:t>
      </w:r>
    </w:p>
    <w:p>
      <w:r>
        <w:rPr>
          <w:rFonts w:ascii="等线(中文正文)" w:hAnsi="等线(中文正文)" w:cs="等线(中文正文)" w:eastAsia="等线(中文正文)"/>
          <w:b w:val="false"/>
          <w:i w:val="false"/>
          <w:sz w:val="20"/>
        </w:rPr>
        <w:t>发言人1 答：目前我们整体的海外市场调价还没有进行，尽管面临汇率波动和与海外品牌直面竞争的压力。对于未来，我们会在观望现有环境的同时，不会轻易做出大范围的价格调整。</w:t>
      </w:r>
    </w:p>
    <w:p>
      <w:r>
        <w:rPr>
          <w:rFonts w:ascii="等线(中文正文)" w:hAnsi="等线(中文正文)" w:cs="等线(中文正文)" w:eastAsia="等线(中文正文)"/>
          <w:b w:val="false"/>
          <w:i w:val="false"/>
          <w:sz w:val="20"/>
        </w:rPr>
        <w:t/>
      </w:r>
    </w:p>
    <w:p>
      <w:pPr>
        <w:pStyle w:val="ab"/>
      </w:pPr>
      <w:r>
        <w:t>发言人1 问：新产品的目标售价是如何设定的？中长期毛利预期又是怎样的？</w:t>
      </w:r>
    </w:p>
    <w:p>
      <w:r>
        <w:rPr>
          <w:rFonts w:ascii="等线(中文正文)" w:hAnsi="等线(中文正文)" w:cs="等线(中文正文)" w:eastAsia="等线(中文正文)"/>
          <w:b w:val="false"/>
          <w:i w:val="false"/>
          <w:sz w:val="20"/>
        </w:rPr>
        <w:t>发言人1 答：目标市场中，新产品的售价希望接近甚至超过一台叉车加上一个叉车作业工人的费用。例如在美国市场可能接近10万美金，而在中国市场三吨电叉车的价格可能在15到20万人民币左右。实现这一售价后，中长期毛利预期较为可观，因为电叉成本已固定，随着规模化生产将有降本阶梯，并且随着行业在中国的成熟，整体成本也会下降。</w:t>
      </w:r>
    </w:p>
    <w:p>
      <w:r>
        <w:rPr>
          <w:rFonts w:ascii="等线(中文正文)" w:hAnsi="等线(中文正文)" w:cs="等线(中文正文)" w:eastAsia="等线(中文正文)"/>
          <w:b w:val="false"/>
          <w:i w:val="false"/>
          <w:sz w:val="20"/>
        </w:rPr>
        <w:t/>
      </w:r>
    </w:p>
    <w:p>
      <w:pPr>
        <w:pStyle w:val="ab"/>
      </w:pPr>
      <w:r>
        <w:t>发言人1 问：关于二季度毛利率大幅下滑的问题，能否帮我们拆分一下，其中多少是由于汇率波动贡献的毛利，多少是由于产品结构变化带来的毛利率变化？</w:t>
      </w:r>
    </w:p>
    <w:p>
      <w:r>
        <w:rPr>
          <w:rFonts w:ascii="等线(中文正文)" w:hAnsi="等线(中文正文)" w:cs="等线(中文正文)" w:eastAsia="等线(中文正文)"/>
          <w:b w:val="false"/>
          <w:i w:val="false"/>
          <w:sz w:val="20"/>
        </w:rPr>
        <w:t>发言人1 答：虽然不能详细拆分数据，但大致可以认为毛利率下滑的原因一半来自汇率波动的影响，另一半来自产品结构变化的影响。</w:t>
      </w:r>
    </w:p>
    <w:p>
      <w:r>
        <w:rPr>
          <w:rFonts w:ascii="等线(中文正文)" w:hAnsi="等线(中文正文)" w:cs="等线(中文正文)" w:eastAsia="等线(中文正文)"/>
          <w:b w:val="false"/>
          <w:i w:val="false"/>
          <w:sz w:val="20"/>
        </w:rPr>
        <w:t/>
      </w:r>
    </w:p>
    <w:p>
      <w:pPr>
        <w:pStyle w:val="ab"/>
      </w:pPr>
      <w:r>
        <w:t>发言人1 问：母公司在北美或欧洲的布局是否会对我们在这些地区开拓渠道起到赋能作用？</w:t>
      </w:r>
    </w:p>
    <w:p>
      <w:r>
        <w:rPr>
          <w:rFonts w:ascii="等线(中文正文)" w:hAnsi="等线(中文正文)" w:cs="等线(中文正文)" w:eastAsia="等线(中文正文)"/>
          <w:b w:val="false"/>
          <w:i w:val="false"/>
          <w:sz w:val="20"/>
        </w:rPr>
        <w:t>发言人1 答：母公司在北美和欧洲的布局确实可以为我们提供一定的渠道和资源支持，特别是在智能化产品的业务拓展上，集团体系将帮助我们在目标市场落地，特别是在交叉客户群体中进行推广。目前，在与既有渠道和新赋能的结合上，我们正尝试通过点对点的方式触达客户，同时保持产品的通用性并通过传统叉车渠道进行放大销售。</w:t>
      </w:r>
    </w:p>
    <w:p>
      <w:r>
        <w:rPr>
          <w:rFonts w:ascii="等线(中文正文)" w:hAnsi="等线(中文正文)" w:cs="等线(中文正文)" w:eastAsia="等线(中文正文)"/>
          <w:b w:val="false"/>
          <w:i w:val="false"/>
          <w:sz w:val="20"/>
        </w:rPr>
        <w:t/>
      </w:r>
    </w:p>
    <w:p>
      <w:pPr>
        <w:pStyle w:val="ab"/>
      </w:pPr>
      <w:r>
        <w:t>发言人1 问：目前海外各个区域大区的收入占比情况如何？</w:t>
      </w:r>
    </w:p>
    <w:p>
      <w:r>
        <w:rPr>
          <w:rFonts w:ascii="等线(中文正文)" w:hAnsi="等线(中文正文)" w:cs="等线(中文正文)" w:eastAsia="等线(中文正文)"/>
          <w:b w:val="false"/>
          <w:i w:val="false"/>
          <w:sz w:val="20"/>
        </w:rPr>
        <w:t>发言人1 答：目前公司海外收入结构基本保持去年水平，新市场和欧美市场各占一半，其中欧洲增速较快，北美则有所下降。新兴市场中，南美增速放缓，东南亚增速超过30%，整体呈现多元化的市场增长态势。</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2026-08-25T17:21:24Z</dcterms:created>
  <dc:creator>Apache POI</dc:creator>
</cp:coreProperties>
</file>