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中信建投 - 2026年全行业研究框架培训·医药专场 260825_导读</w:t>
      </w:r>
    </w:p>
    <w:p>
      <w:pPr>
        <w:pStyle w:val="a0"/>
        <w:jc w:val="center"/>
      </w:pPr>
      <w:r>
        <w:t>2026年08月25日 22:10</w:t>
      </w:r>
    </w:p>
    <w:p>
      <w:pPr>
        <w:pStyle w:val="a7"/>
      </w:pPr>
      <w:r>
        <w:t>关键词</w:t>
      </w:r>
    </w:p>
    <w:p>
      <w:r>
        <w:rPr>
          <w:rFonts w:ascii="等线(中文正文)" w:hAnsi="等线(中文正文)" w:cs="等线(中文正文)" w:eastAsia="等线(中文正文)"/>
          <w:b w:val="false"/>
          <w:i w:val="false"/>
          <w:sz w:val="20"/>
        </w:rPr>
        <w:t xml:space="preserve">创新药 技术进步 供给创造需求 CRO属性 技术平台 研发先行 估值 事件驱动 宏观影响 成长驱动 临床能力 商业化 国际化 全球竞争力 前端研发 现金流 成功率 专利期 国际 CDMO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深入探讨了医药行业的发展趋势、研究框架及技术创新，特别是创新药和制药产业链。袁清慧强调，中国创新药企成长的核心驱动力在于技术进步和供给创造需求，同时回顾医药技术发展史，指出每一轮技术驱动对生物科技牛市的影响。他还讨论了创新药的投资逻辑，包括商业模式、投资机会和估值方法，并对全球化、AI制药的机遇和挑战进行了展望。王在成则聚焦医疗器械和医疗服务行业，讨论了国产替代、创新引领、并购以及国际化策略，并强调了对政策研究和消费趋势的持续关注。整体上，对话提供了医药行业包括创新药、医疗器械和医疗服务在内的全面分析，为投资者和行业参与者提供了重要参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医药行业创新药研究框架解析</w:t>
      </w:r>
    </w:p>
    <w:p>
      <w:r>
        <w:rPr>
          <w:rFonts w:ascii="等线(中文正文)" w:hAnsi="等线(中文正文)" w:cs="等线(中文正文)" w:eastAsia="等线(中文正文)"/>
          <w:b w:val="false"/>
          <w:i w:val="false"/>
          <w:sz w:val="20"/>
        </w:rPr>
        <w:t>对话深入探讨了创新药行业的发展历程与技术驱动，从1900年前的植物提取药到2020后的基因疗法，每一轮技术进步都解决了未满足的临床需求，推动了生物科技的牛市。当前，中国创新药企处于特定发展阶段，核心矛盾随阶段变化，但行业成长驱动力始终未变，技术进步和供给创造需求仍是关键。</w:t>
      </w:r>
    </w:p>
    <w:p>
      <w:r>
        <w:rPr>
          <w:rFonts w:ascii="等线(中文正文)" w:hAnsi="等线(中文正文)" w:cs="等线(中文正文)" w:eastAsia="等线(中文正文)"/>
          <w:b w:val="false"/>
          <w:i w:val="false"/>
          <w:sz w:val="20"/>
        </w:rPr>
        <w:t/>
      </w:r>
    </w:p>
    <w:p>
      <w:pPr>
        <w:pStyle w:val="ab"/>
        <w:numPr>
          <w:numId w:val="2"/>
        </w:numPr>
      </w:pPr>
      <w:r>
        <w:t>03:30 创新药如何通过满足未满足临床需求实现长期增长</w:t>
      </w:r>
    </w:p>
    <w:p>
      <w:r>
        <w:rPr>
          <w:rFonts w:ascii="等线(中文正文)" w:hAnsi="等线(中文正文)" w:cs="等线(中文正文)" w:eastAsia="等线(中文正文)"/>
          <w:b w:val="false"/>
          <w:i w:val="false"/>
          <w:sz w:val="20"/>
        </w:rPr>
        <w:t>通过多发性骨髓瘤治疗历史的分析，展示了创新药如何通过满足未满足的临床需求，实现市场供给创造需求，从而推动药物的长期增长。从1975年到2005年，随着莱纳多安等创新药物的出现，患者生存期显著延长，治疗意愿和支付意愿提升，使该药物成为百亿美金级别的品种。随后，针对耐药性问题的持续研发，进一步巩固了多发性骨髓瘤治疗的市场，实现了肿瘤治疗的慢病化趋势。</w:t>
      </w:r>
    </w:p>
    <w:p>
      <w:r>
        <w:rPr>
          <w:rFonts w:ascii="等线(中文正文)" w:hAnsi="等线(中文正文)" w:cs="等线(中文正文)" w:eastAsia="等线(中文正文)"/>
          <w:b w:val="false"/>
          <w:i w:val="false"/>
          <w:sz w:val="20"/>
        </w:rPr>
        <w:t/>
      </w:r>
    </w:p>
    <w:p>
      <w:pPr>
        <w:pStyle w:val="ab"/>
        <w:numPr>
          <w:numId w:val="3"/>
        </w:numPr>
      </w:pPr>
      <w:r>
        <w:t>06:37 创新药商业模式的三次变迁与稳定期</w:t>
      </w:r>
    </w:p>
    <w:p>
      <w:r>
        <w:rPr>
          <w:rFonts w:ascii="等线(中文正文)" w:hAnsi="等线(中文正文)" w:cs="等线(中文正文)" w:eastAsia="等线(中文正文)"/>
          <w:b w:val="false"/>
          <w:i w:val="false"/>
          <w:sz w:val="20"/>
        </w:rPr>
        <w:t>从1980年代以研发爆款产品为导向，到90年代兼具CRO属性的多元化模式，再到2000年后以技术平台为基础的产品导向，创新药商业模式经历了三次变迁，最终在技术差异化和风险可控性上找到了稳定期。</w:t>
      </w:r>
    </w:p>
    <w:p>
      <w:r>
        <w:rPr>
          <w:rFonts w:ascii="等线(中文正文)" w:hAnsi="等线(中文正文)" w:cs="等线(中文正文)" w:eastAsia="等线(中文正文)"/>
          <w:b w:val="false"/>
          <w:i w:val="false"/>
          <w:sz w:val="20"/>
        </w:rPr>
        <w:t/>
      </w:r>
    </w:p>
    <w:p>
      <w:pPr>
        <w:pStyle w:val="ab"/>
        <w:numPr>
          <w:numId w:val="4"/>
        </w:numPr>
      </w:pPr>
      <w:r>
        <w:t>09:41 创新药企估值与投资策略探讨</w:t>
      </w:r>
    </w:p>
    <w:p>
      <w:r>
        <w:rPr>
          <w:rFonts w:ascii="等线(中文正文)" w:hAnsi="等线(中文正文)" w:cs="等线(中文正文)" w:eastAsia="等线(中文正文)"/>
          <w:b w:val="false"/>
          <w:i w:val="false"/>
          <w:sz w:val="20"/>
        </w:rPr>
        <w:t>讨论了创新药企长期亏损后实现高额利润的案例，强调了准确预测未来收益的重要性。提出通过评估公司费用控制、产品上市速度及利润增长能力来识别优质投资标的，目标是寻找能快速收回成本并创造巨额利润的企业。</w:t>
      </w:r>
    </w:p>
    <w:p>
      <w:r>
        <w:rPr>
          <w:rFonts w:ascii="等线(中文正文)" w:hAnsi="等线(中文正文)" w:cs="等线(中文正文)" w:eastAsia="等线(中文正文)"/>
          <w:b w:val="false"/>
          <w:i w:val="false"/>
          <w:sz w:val="20"/>
        </w:rPr>
        <w:t/>
      </w:r>
    </w:p>
    <w:p>
      <w:pPr>
        <w:pStyle w:val="ab"/>
        <w:numPr>
          <w:numId w:val="5"/>
        </w:numPr>
      </w:pPr>
      <w:r>
        <w:t>13:07 创新药行业投资策略与事件驱动机会分析</w:t>
      </w:r>
    </w:p>
    <w:p>
      <w:r>
        <w:rPr>
          <w:rFonts w:ascii="等线(中文正文)" w:hAnsi="等线(中文正文)" w:cs="等线(中文正文)" w:eastAsia="等线(中文正文)"/>
          <w:b w:val="false"/>
          <w:i w:val="false"/>
          <w:sz w:val="20"/>
        </w:rPr>
        <w:t>对话讨论了创新药行业中的投资策略，强调区分事件驱动、宏观影响和成长驱动的机会。以某公司为例，2017年临床数据发布、2018年商业化合作及后续并购机会被详细分析，指出每年4-6月学术会议窗口是创新药板块活跃期，且创新药估值与利率相关。</w:t>
      </w:r>
    </w:p>
    <w:p>
      <w:r>
        <w:rPr>
          <w:rFonts w:ascii="等线(中文正文)" w:hAnsi="等线(中文正文)" w:cs="等线(中文正文)" w:eastAsia="等线(中文正文)"/>
          <w:b w:val="false"/>
          <w:i w:val="false"/>
          <w:sz w:val="20"/>
        </w:rPr>
        <w:t/>
      </w:r>
    </w:p>
    <w:p>
      <w:pPr>
        <w:pStyle w:val="ab"/>
        <w:numPr>
          <w:numId w:val="6"/>
        </w:numPr>
      </w:pPr>
      <w:r>
        <w:t>15:07 创新药企业估值与成长周期分析</w:t>
      </w:r>
    </w:p>
    <w:p>
      <w:r>
        <w:rPr>
          <w:rFonts w:ascii="等线(中文正文)" w:hAnsi="等线(中文正文)" w:cs="等线(中文正文)" w:eastAsia="等线(中文正文)"/>
          <w:b w:val="false"/>
          <w:i w:val="false"/>
          <w:sz w:val="20"/>
        </w:rPr>
        <w:t>讨论了创新药企业在不同技术周期中的表现，强调了前端研发、临床能力、商业化及国际化的重要性。提出了未来现金流贴现作为估值方法，分析了收入预测、净利润、资本开支等要素，指出药品研发的成功概率、产品生命周期和放量速度对估值的影响，以及低利率环境下的估值优势。</w:t>
      </w:r>
    </w:p>
    <w:p>
      <w:r>
        <w:rPr>
          <w:rFonts w:ascii="等线(中文正文)" w:hAnsi="等线(中文正文)" w:cs="等线(中文正文)" w:eastAsia="等线(中文正文)"/>
          <w:b w:val="false"/>
          <w:i w:val="false"/>
          <w:sz w:val="20"/>
        </w:rPr>
        <w:t/>
      </w:r>
    </w:p>
    <w:p>
      <w:pPr>
        <w:pStyle w:val="ab"/>
        <w:numPr>
          <w:numId w:val="7"/>
        </w:numPr>
      </w:pPr>
      <w:r>
        <w:t>21:32 创新药行业分析误区与投资策略</w:t>
      </w:r>
    </w:p>
    <w:p>
      <w:r>
        <w:rPr>
          <w:rFonts w:ascii="等线(中文正文)" w:hAnsi="等线(中文正文)" w:cs="等线(中文正文)" w:eastAsia="等线(中文正文)"/>
          <w:b w:val="false"/>
          <w:i w:val="false"/>
          <w:sz w:val="20"/>
        </w:rPr>
        <w:t>讨论了创新药行业中的价值陷阱与竞争格局，指出首个产品失败后公司资源集中与融资困境，建议耐心等待后续产品。分析市场空间与竞争关系，强调内卷市场中领先布局与执行力的重要性，提出产品价值不应仅依赖技术评估。</w:t>
      </w:r>
    </w:p>
    <w:p>
      <w:r>
        <w:rPr>
          <w:rFonts w:ascii="等线(中文正文)" w:hAnsi="等线(中文正文)" w:cs="等线(中文正文)" w:eastAsia="等线(中文正文)"/>
          <w:b w:val="false"/>
          <w:i w:val="false"/>
          <w:sz w:val="20"/>
        </w:rPr>
        <w:t/>
      </w:r>
    </w:p>
    <w:p>
      <w:pPr>
        <w:pStyle w:val="ab"/>
        <w:numPr>
          <w:numId w:val="8"/>
        </w:numPr>
      </w:pPr>
      <w:r>
        <w:t>23:10 中药实践性与创新药物市场机遇</w:t>
      </w:r>
    </w:p>
    <w:p>
      <w:r>
        <w:rPr>
          <w:rFonts w:ascii="等线(中文正文)" w:hAnsi="等线(中文正文)" w:cs="等线(中文正文)" w:eastAsia="等线(中文正文)"/>
          <w:b w:val="false"/>
          <w:i w:val="false"/>
          <w:sz w:val="20"/>
        </w:rPr>
        <w:t>讨论强调了中药的实践性，以吉列德哈索菲布韦为例，说明解决临床需求的重要性，即使技术并非最前沿。提及中国学术影响力提升、跨国药企专利压力及投资风险，预测未来授权收入增长。</w:t>
      </w:r>
    </w:p>
    <w:p>
      <w:r>
        <w:rPr>
          <w:rFonts w:ascii="等线(中文正文)" w:hAnsi="等线(中文正文)" w:cs="等线(中文正文)" w:eastAsia="等线(中文正文)"/>
          <w:b w:val="false"/>
          <w:i w:val="false"/>
          <w:sz w:val="20"/>
        </w:rPr>
        <w:t/>
      </w:r>
    </w:p>
    <w:p>
      <w:pPr>
        <w:pStyle w:val="ab"/>
        <w:numPr>
          <w:numId w:val="9"/>
        </w:numPr>
      </w:pPr>
      <w:r>
        <w:t>24:55 C叉O领域投资框架与趋势分析</w:t>
      </w:r>
    </w:p>
    <w:p>
      <w:r>
        <w:rPr>
          <w:rFonts w:ascii="等线(中文正文)" w:hAnsi="等线(中文正文)" w:cs="等线(中文正文)" w:eastAsia="等线(中文正文)"/>
          <w:b w:val="false"/>
          <w:i w:val="false"/>
          <w:sz w:val="20"/>
        </w:rPr>
        <w:t>C叉O领域经过深度调整后进入复苏趋势，技术创新和资本市场的表现推动行业回暖。CDMO细分领域景气度各异，企业行为反映对未来乐观预期。中国创新药影响力提升，全球产能布局应对地缘政治担忧，预计外包渗透率持续增长。</w:t>
      </w:r>
    </w:p>
    <w:p>
      <w:r>
        <w:rPr>
          <w:rFonts w:ascii="等线(中文正文)" w:hAnsi="等线(中文正文)" w:cs="等线(中文正文)" w:eastAsia="等线(中文正文)"/>
          <w:b w:val="false"/>
          <w:i w:val="false"/>
          <w:sz w:val="20"/>
        </w:rPr>
        <w:t/>
      </w:r>
    </w:p>
    <w:p>
      <w:pPr>
        <w:pStyle w:val="ab"/>
        <w:numPr>
          <w:numId w:val="10"/>
        </w:numPr>
      </w:pPr>
      <w:r>
        <w:t>29:36 AI制药技术突破与行业繁荣趋势</w:t>
      </w:r>
    </w:p>
    <w:p>
      <w:r>
        <w:rPr>
          <w:rFonts w:ascii="等线(中文正文)" w:hAnsi="等线(中文正文)" w:cs="等线(中文正文)" w:eastAsia="等线(中文正文)"/>
          <w:b w:val="false"/>
          <w:i w:val="false"/>
          <w:sz w:val="20"/>
        </w:rPr>
        <w:t>AI制药领域经历了多年技术积累，2018年谷歌DeepMind的AlphaFold模型发布标志着AI进入蛋白结构预测，2024年AlphaFold 3.0进一步提升预测准确率和蛋白抗体相互作用预测能力。技术突破驱动药企付费意愿提升及资本投入增加，多家跨国药企启动AI制药合作。2026年，IO Moc完成21亿美元融资，计划将首个分子推进临床。AI大模型公司加入，推动药物研发需求上升，行业进入技术收获期。需关注行业政策、研发、审批不及预期及宏观环境波动风险。</w:t>
      </w:r>
    </w:p>
    <w:p>
      <w:r>
        <w:rPr>
          <w:rFonts w:ascii="等线(中文正文)" w:hAnsi="等线(中文正文)" w:cs="等线(中文正文)" w:eastAsia="等线(中文正文)"/>
          <w:b w:val="false"/>
          <w:i w:val="false"/>
          <w:sz w:val="20"/>
        </w:rPr>
        <w:t/>
      </w:r>
    </w:p>
    <w:p>
      <w:pPr>
        <w:pStyle w:val="ab"/>
        <w:numPr>
          <w:numId w:val="11"/>
        </w:numPr>
      </w:pPr>
      <w:r>
        <w:t>33:56 医疗器械与医疗服务行业研究：创新与出海新逻辑</w:t>
      </w:r>
    </w:p>
    <w:p>
      <w:r>
        <w:rPr>
          <w:rFonts w:ascii="等线(中文正文)" w:hAnsi="等线(中文正文)" w:cs="等线(中文正文)" w:eastAsia="等线(中文正文)"/>
          <w:b w:val="false"/>
          <w:i w:val="false"/>
          <w:sz w:val="20"/>
        </w:rPr>
        <w:t>报告总结了医疗器械行业从进口替代到创新与出海的战略转变，强调了Me Too和Me Better创新的重要性，以及国际市场空间的巨大潜力。分析了不同子行业如高值耗材、医疗设备、体外诊断、低值耗材和家用器械的发展趋势与挑战，指出集采优化、产品创新和全球供应链竞争力是关键。尽管行业面临政策与业绩压力，但企业通过转型已找到新的增长点，预示着行业拐点的到来。</w:t>
      </w:r>
    </w:p>
    <w:p>
      <w:r>
        <w:rPr>
          <w:rFonts w:ascii="等线(中文正文)" w:hAnsi="等线(中文正文)" w:cs="等线(中文正文)" w:eastAsia="等线(中文正文)"/>
          <w:b w:val="false"/>
          <w:i w:val="false"/>
          <w:sz w:val="20"/>
        </w:rPr>
        <w:t/>
      </w:r>
    </w:p>
    <w:p>
      <w:pPr>
        <w:pStyle w:val="ab"/>
        <w:numPr>
          <w:numId w:val="12"/>
        </w:numPr>
      </w:pPr>
      <w:r>
        <w:t>39:48 中国医疗科技与创新优势及投资机会探讨</w:t>
      </w:r>
    </w:p>
    <w:p>
      <w:r>
        <w:rPr>
          <w:rFonts w:ascii="等线(中文正文)" w:hAnsi="等线(中文正文)" w:cs="等线(中文正文)" w:eastAsia="等线(中文正文)"/>
          <w:b w:val="false"/>
          <w:i w:val="false"/>
          <w:sz w:val="20"/>
        </w:rPr>
        <w:t>对话讨论了中国在创新领域，尤其是医疗科技方面的显著优势，包括工程师红利、产业链成本优势、丰富的临床经验积累等，列举了多项全球领先的医疗产品。同时，分析了A股和港股的投资机会，指出尽管港股流动性可能较低，但微泰医疗等公司业绩增速良好，展现出投资潜力。未来科技方向如脑机接口和AI医疗也备受关注，预示着主题性投资机会。</w:t>
      </w:r>
    </w:p>
    <w:p>
      <w:r>
        <w:rPr>
          <w:rFonts w:ascii="等线(中文正文)" w:hAnsi="等线(中文正文)" w:cs="等线(中文正文)" w:eastAsia="等线(中文正文)"/>
          <w:b w:val="false"/>
          <w:i w:val="false"/>
          <w:sz w:val="20"/>
        </w:rPr>
        <w:t/>
      </w:r>
    </w:p>
    <w:p>
      <w:pPr>
        <w:pStyle w:val="ab"/>
        <w:numPr>
          <w:numId w:val="13"/>
        </w:numPr>
      </w:pPr>
      <w:r>
        <w:t>41:55 医疗器械行业国产替代与创新引领趋势</w:t>
      </w:r>
    </w:p>
    <w:p>
      <w:r>
        <w:rPr>
          <w:rFonts w:ascii="等线(中文正文)" w:hAnsi="等线(中文正文)" w:cs="等线(中文正文)" w:eastAsia="等线(中文正文)"/>
          <w:b w:val="false"/>
          <w:i w:val="false"/>
          <w:sz w:val="20"/>
        </w:rPr>
        <w:t>医疗器械板块投资逻辑正从国产替代转向创新引领，关注并购整合方向。医疗器械成长较慢但护城河强，专利悬崖风险低。中国企业以国内并购为主，未来将增加海外并购。迈瑞医疗等公司通过建立成熟销售网络实现弯道超车，国际化成为重要关注点，提升国际业务占比有助于获得更高估值和外资关注。</w:t>
      </w:r>
    </w:p>
    <w:p>
      <w:r>
        <w:rPr>
          <w:rFonts w:ascii="等线(中文正文)" w:hAnsi="等线(中文正文)" w:cs="等线(中文正文)" w:eastAsia="等线(中文正文)"/>
          <w:b w:val="false"/>
          <w:i w:val="false"/>
          <w:sz w:val="20"/>
        </w:rPr>
        <w:t/>
      </w:r>
    </w:p>
    <w:p>
      <w:pPr>
        <w:pStyle w:val="ab"/>
        <w:numPr>
          <w:numId w:val="14"/>
        </w:numPr>
      </w:pPr>
      <w:r>
        <w:t>48:21 医疗器械行业：高值耗材板块的挑战与机遇</w:t>
      </w:r>
    </w:p>
    <w:p>
      <w:r>
        <w:rPr>
          <w:rFonts w:ascii="等线(中文正文)" w:hAnsi="等线(中文正文)" w:cs="等线(中文正文)" w:eastAsia="等线(中文正文)"/>
          <w:b w:val="false"/>
          <w:i w:val="false"/>
          <w:sz w:val="20"/>
        </w:rPr>
        <w:t>对话探讨了医疗器械行业，尤其是高值耗材板块的发展现状与未来趋势。提及了医保政策对行业的影响，包括渠道利润压缩、企业利润率下降及业绩预测的不确定性。同时，指出集采政策虽短期内可能带来挑战，但长期看有利于国产化率提升，特别是对于国产化率低的赛道。此外，讨论了电生理、消化介入等赛道的出清过程及其对业绩和估值修复的潜在利好。</w:t>
      </w:r>
    </w:p>
    <w:p>
      <w:r>
        <w:rPr>
          <w:rFonts w:ascii="等线(中文正文)" w:hAnsi="等线(中文正文)" w:cs="等线(中文正文)" w:eastAsia="等线(中文正文)"/>
          <w:b w:val="false"/>
          <w:i w:val="false"/>
          <w:sz w:val="20"/>
        </w:rPr>
        <w:t/>
      </w:r>
    </w:p>
    <w:p>
      <w:pPr>
        <w:pStyle w:val="ab"/>
        <w:numPr>
          <w:numId w:val="15"/>
        </w:numPr>
      </w:pPr>
      <w:r>
        <w:t>52:49 体外诊断行业政策影响与国产替代趋势</w:t>
      </w:r>
    </w:p>
    <w:p>
      <w:r>
        <w:rPr>
          <w:rFonts w:ascii="等线(中文正文)" w:hAnsi="等线(中文正文)" w:cs="等线(中文正文)" w:eastAsia="等线(中文正文)"/>
          <w:b w:val="false"/>
          <w:i w:val="false"/>
          <w:sz w:val="20"/>
        </w:rPr>
        <w:t>对话讨论了体外诊断行业受政策影响，包括集采、增值税率提升及检验收费价格下降等，导致量价受影响。但国产替代趋势持续，企业通过提升产品竞争力和开拓海外市场寻求发展。建议关注政策落地影响及集采进展，医疗设备领域也将面临集采。</w:t>
      </w:r>
    </w:p>
    <w:p>
      <w:r>
        <w:rPr>
          <w:rFonts w:ascii="等线(中文正文)" w:hAnsi="等线(中文正文)" w:cs="等线(中文正文)" w:eastAsia="等线(中文正文)"/>
          <w:b w:val="false"/>
          <w:i w:val="false"/>
          <w:sz w:val="20"/>
        </w:rPr>
        <w:t/>
      </w:r>
    </w:p>
    <w:p>
      <w:pPr>
        <w:pStyle w:val="ab"/>
        <w:numPr>
          <w:numId w:val="16"/>
        </w:numPr>
      </w:pPr>
      <w:r>
        <w:t>55:12 医疗设备行业政策与市场动态分析</w:t>
      </w:r>
    </w:p>
    <w:p>
      <w:r>
        <w:rPr>
          <w:rFonts w:ascii="等线(中文正文)" w:hAnsi="等线(中文正文)" w:cs="等线(中文正文)" w:eastAsia="等线(中文正文)"/>
          <w:b w:val="false"/>
          <w:i w:val="false"/>
          <w:sz w:val="20"/>
        </w:rPr>
        <w:t>国家卫健委发文明确省级重点开展乙类医疗设备集采，推动行业景气周期。联影医疗、迈瑞医疗等龙头公司受益于出海战略，国内投资逻辑聚焦行业景气与产品放量周期共振。医院利润受政策影响，创新能力强的国产器械迎来发展机遇。</w:t>
      </w:r>
    </w:p>
    <w:p>
      <w:r>
        <w:rPr>
          <w:rFonts w:ascii="等线(中文正文)" w:hAnsi="等线(中文正文)" w:cs="等线(中文正文)" w:eastAsia="等线(中文正文)"/>
          <w:b w:val="false"/>
          <w:i w:val="false"/>
          <w:sz w:val="20"/>
        </w:rPr>
        <w:t/>
      </w:r>
    </w:p>
    <w:p>
      <w:pPr>
        <w:pStyle w:val="ab"/>
        <w:numPr>
          <w:numId w:val="17"/>
        </w:numPr>
      </w:pPr>
      <w:r>
        <w:t>58:06 医疗设备与耗材板块投资逻辑分析</w:t>
      </w:r>
    </w:p>
    <w:p>
      <w:r>
        <w:rPr>
          <w:rFonts w:ascii="等线(中文正文)" w:hAnsi="等线(中文正文)" w:cs="等线(中文正文)" w:eastAsia="等线(中文正文)"/>
          <w:b w:val="false"/>
          <w:i w:val="false"/>
          <w:sz w:val="20"/>
        </w:rPr>
        <w:t>对话深入探讨了医疗设备、高值耗材及体外诊断板块的投资逻辑差异，重点分析了产品上市后的市场渗透率、赛道大小、企业研发能力及售后服务等因素对投资决策的影响。同时，提及了医疗设备上游企业如美好医疗、海泰星光等在技术创新与市场拓展方面的表现，强调了技术迁移与跨界应用的潜在价值。</w:t>
      </w:r>
    </w:p>
    <w:p>
      <w:r>
        <w:rPr>
          <w:rFonts w:ascii="等线(中文正文)" w:hAnsi="等线(中文正文)" w:cs="等线(中文正文)" w:eastAsia="等线(中文正文)"/>
          <w:b w:val="false"/>
          <w:i w:val="false"/>
          <w:sz w:val="20"/>
        </w:rPr>
        <w:t/>
      </w:r>
    </w:p>
    <w:p>
      <w:pPr>
        <w:pStyle w:val="ab"/>
        <w:numPr>
          <w:numId w:val="18"/>
        </w:numPr>
      </w:pPr>
      <w:r>
        <w:t>01:01:38 医疗器械创新与脑机接口技术展望</w:t>
      </w:r>
    </w:p>
    <w:p>
      <w:r>
        <w:rPr>
          <w:rFonts w:ascii="等线(中文正文)" w:hAnsi="等线(中文正文)" w:cs="等线(中文正文)" w:eastAsia="等线(中文正文)"/>
          <w:b w:val="false"/>
          <w:i w:val="false"/>
          <w:sz w:val="20"/>
        </w:rPr>
        <w:t>讨论了国内消费背景下的家用器械市场趋势，重点分析了手术机器人和脑机接口等新兴技术方向，强调了中国在医疗器械领域的国产化率提升及全球技术追赶的背景，展望了创新技术在医疗和消费领域的应用潜力。</w:t>
      </w:r>
    </w:p>
    <w:p>
      <w:r>
        <w:rPr>
          <w:rFonts w:ascii="等线(中文正文)" w:hAnsi="等线(中文正文)" w:cs="等线(中文正文)" w:eastAsia="等线(中文正文)"/>
          <w:b w:val="false"/>
          <w:i w:val="false"/>
          <w:sz w:val="20"/>
        </w:rPr>
        <w:t/>
      </w:r>
    </w:p>
    <w:p>
      <w:pPr>
        <w:pStyle w:val="ab"/>
        <w:numPr>
          <w:numId w:val="19"/>
        </w:numPr>
      </w:pPr>
      <w:r>
        <w:t>01:05:52 中国医疗器械企业国际化与并购策略分析</w:t>
      </w:r>
    </w:p>
    <w:p>
      <w:r>
        <w:rPr>
          <w:rFonts w:ascii="等线(中文正文)" w:hAnsi="等线(中文正文)" w:cs="等线(中文正文)" w:eastAsia="等线(中文正文)"/>
          <w:b w:val="false"/>
          <w:i w:val="false"/>
          <w:sz w:val="20"/>
        </w:rPr>
        <w:t>对话探讨了中国医疗器械企业在全球市场中的增长潜力，强调心血管、口腔、眼科等领域的高市场价值。指出中国企业在创新、工程师红利及产能优势下，正逐步成为全球领先者。讨论了出海策略的多样性，包括不同产品的海外拓展模式。强调并购对于企业成长的重要性，引用迈瑞等企业案例，分析并购与整合经验，为国内企业国际化提供参考。</w:t>
      </w:r>
    </w:p>
    <w:p>
      <w:r>
        <w:rPr>
          <w:rFonts w:ascii="等线(中文正文)" w:hAnsi="等线(中文正文)" w:cs="等线(中文正文)" w:eastAsia="等线(中文正文)"/>
          <w:b w:val="false"/>
          <w:i w:val="false"/>
          <w:sz w:val="20"/>
        </w:rPr>
        <w:t/>
      </w:r>
    </w:p>
    <w:p>
      <w:pPr>
        <w:pStyle w:val="ab"/>
        <w:numPr>
          <w:numId w:val="20"/>
        </w:numPr>
      </w:pPr>
      <w:r>
        <w:t>01:08:44 医疗器械与医疗服务行业趋势及政策风险分析</w:t>
      </w:r>
    </w:p>
    <w:p>
      <w:r>
        <w:rPr>
          <w:rFonts w:ascii="等线(中文正文)" w:hAnsi="等线(中文正文)" w:cs="等线(中文正文)" w:eastAsia="等线(中文正文)"/>
          <w:b w:val="false"/>
          <w:i w:val="false"/>
          <w:sz w:val="20"/>
        </w:rPr>
        <w:t>报告分享了医疗器械行业出海、创新及细分领域如机器人、脑机接口的最新观点，同时提醒关注政策风险。对于医疗服务板块，讨论了受消费和政策影响下的连锁医院新建、盈利状况及成本控制能力的重要性，特别指出眼科和口腔类业务与消费及医保的关系，强调政策研究和消费趋势分析的必要性。最后，报告不涉及个股推荐，鼓励联系中信建投获取具体投资观点，分享了行业框架和观点，旨在促进健康投资。</w:t>
      </w:r>
    </w:p>
    <w:p>
      <w:r>
        <w:rPr>
          <w:rFonts w:ascii="等线(中文正文)" w:hAnsi="等线(中文正文)" w:cs="等线(中文正文)" w:eastAsia="等线(中文正文)"/>
          <w:b w:val="false"/>
          <w:i w:val="false"/>
          <w:sz w:val="20"/>
        </w:rPr>
        <w:t/>
      </w:r>
    </w:p>
    <w:p>
      <w:pPr>
        <w:pStyle w:val="a7"/>
      </w:pPr>
      <w:r>
        <w:t>发言总结</w:t>
      </w:r>
    </w:p>
    <w:p>
      <w:pPr>
        <w:pStyle w:val="ab"/>
        <w:numPr>
          <w:numId w:val="21"/>
        </w:numPr>
      </w:pPr>
      <w:r>
        <w:t>发言人1</w:t>
      </w:r>
    </w:p>
    <w:p>
      <w:r>
        <w:rPr>
          <w:rFonts w:ascii="等线(中文正文)" w:hAnsi="等线(中文正文)" w:cs="等线(中文正文)" w:eastAsia="等线(中文正文)"/>
          <w:b w:val="false"/>
          <w:i w:val="false"/>
          <w:sz w:val="20"/>
        </w:rPr>
        <w:t>他首先对接入中信建投的行业培训框架表达了感谢，并强调讲解的重点为医药行业，尤其是创新药和制药产业链的研究框架。他指出，创新药行业一直是技术进步和需求创造的驱动力，技术的不断进步推动了行业的发展，并满足了未被满足的临床需求。此外，他强调了创新药的商业模式的转变，从以前的研发爆款产品到现在的强调持续研发和与大型药企合作获得现金流的转变，目前进入一个较为稳定的阶段。
他讨论了高值耗材、医疗设备、体外诊断等细分领域的特点和发展趋势，强调了国际化和技术创新作为未来增长的关键，并讨论了政策环境对医疗器械和医疗服务行业的影响，如集采政策对高值耗材领域的影响和对医疗服务板块的影响。最后，他展望了脑机接口、手术机器人、AI医疗等新兴技术在医疗器械领域的应用前景，并提醒注意政策风险、研发风险和审批风险等投资风险。
他强调了技术创新和全球布局对于中国医疗器械和医药企业的重要性，并提出了对投资者的建议，鼓励关注具有创新能力的企业。</w:t>
      </w:r>
    </w:p>
    <w:p>
      <w:r>
        <w:rPr>
          <w:rFonts w:ascii="等线(中文正文)" w:hAnsi="等线(中文正文)" w:cs="等线(中文正文)" w:eastAsia="等线(中文正文)"/>
          <w:b w:val="false"/>
          <w:i w:val="false"/>
          <w:sz w:val="20"/>
        </w:rPr>
        <w:t/>
      </w:r>
    </w:p>
    <w:p>
      <w:pPr>
        <w:pStyle w:val="a7"/>
      </w:pPr>
      <w:r>
        <w:t>要点回顾</w:t>
      </w:r>
    </w:p>
    <w:p>
      <w:pPr>
        <w:pStyle w:val="ab"/>
      </w:pPr>
      <w:r>
        <w:t>创新药行业研究的核心驱动力是什么？创新药领域有哪些重要的发展历程？</w:t>
      </w:r>
    </w:p>
    <w:p>
      <w:r>
        <w:rPr>
          <w:rFonts w:ascii="等线(中文正文)" w:hAnsi="等线(中文正文)" w:cs="等线(中文正文)" w:eastAsia="等线(中文正文)"/>
          <w:b w:val="false"/>
          <w:i w:val="false"/>
          <w:sz w:val="20"/>
        </w:rPr>
        <w:t>发言人1：创新药行业研究的核心驱动力一直是技术进步和供给创造需求带来的成长，这是不变的部分。每一轮技术驱动都带来了生物科技领域的牛市，并且都是为了解决未满足的临床需求。创新药领域的发展历程包括：1900年前的早期创新植物提取药；1900年至1980年间的抗生素、疫苗等基础生物制品；1980年代至90年代出现重组生物制品如生长激素和胰岛素；90年代到2000年靶向治疗兴起，解决肿瘤治疗非靶向性问题；2010年代免疫治疗为代表的新突破，提出了全新的抗肿瘤理念；2020年后基因疗法、ADC等新型靶向药物的出现。</w:t>
      </w:r>
    </w:p>
    <w:p>
      <w:r>
        <w:rPr>
          <w:rFonts w:ascii="等线(中文正文)" w:hAnsi="等线(中文正文)" w:cs="等线(中文正文)" w:eastAsia="等线(中文正文)"/>
          <w:b w:val="false"/>
          <w:i w:val="false"/>
          <w:sz w:val="20"/>
        </w:rPr>
        <w:t/>
      </w:r>
    </w:p>
    <w:p>
      <w:pPr>
        <w:pStyle w:val="ab"/>
      </w:pPr>
      <w:r>
        <w:t>为什么创新药能长期增长，以及供给如何创造需求？</w:t>
      </w:r>
    </w:p>
    <w:p>
      <w:r>
        <w:rPr>
          <w:rFonts w:ascii="等线(中文正文)" w:hAnsi="等线(中文正文)" w:cs="等线(中文正文)" w:eastAsia="等线(中文正文)"/>
          <w:b w:val="false"/>
          <w:i w:val="false"/>
          <w:sz w:val="20"/>
        </w:rPr>
        <w:t>发言人1：创新药长期增长的核心在于持续满足未被满足的临床需求。以多发性骨髓瘤为例，从缺乏有效治疗方案到莱纳多安的出现，显著延长患者的生存期并提高生活质量，使得治疗意愿增强，患者数量和单个患者支付金额随之提升，形成供给创造需求的现象。</w:t>
      </w:r>
    </w:p>
    <w:p>
      <w:r>
        <w:rPr>
          <w:rFonts w:ascii="等线(中文正文)" w:hAnsi="等线(中文正文)" w:cs="等线(中文正文)" w:eastAsia="等线(中文正文)"/>
          <w:b w:val="false"/>
          <w:i w:val="false"/>
          <w:sz w:val="20"/>
        </w:rPr>
        <w:t/>
      </w:r>
    </w:p>
    <w:p>
      <w:pPr>
        <w:pStyle w:val="ab"/>
      </w:pPr>
      <w:r>
        <w:t>创新药商业模式经历了怎样的变迁？如何理解和评估创新药公司的价值？</w:t>
      </w:r>
    </w:p>
    <w:p>
      <w:r>
        <w:rPr>
          <w:rFonts w:ascii="等线(中文正文)" w:hAnsi="等线(中文正文)" w:cs="等线(中文正文)" w:eastAsia="等线(中文正文)"/>
          <w:b w:val="false"/>
          <w:i w:val="false"/>
          <w:sz w:val="20"/>
        </w:rPr>
        <w:t>发言人1：创新药商业模式经历了两次主要变迁。最初阶段，公司以研发爆款产品为导向，如基因泰克凭借生长激素和重组胰岛素取得成功。然而，随着失败率高、成功率低的问题显现，90年代后出现了同时进行产品研发和服务大型药企获取现金流的新模式，如Milani（千禧制药）。后期，鉴于同质化竞争激烈和风险控制需求，又回归以产品为导向的技术差异化模式，通过构建技术平台开发一系列产品来平衡单个产品的风险。创新药公司通常在研发先行阶段持续亏损，高风险、长周期且潜在收益丰厚。以再生元为例，其在长达二十多年的时间里亏损，直到首个重磅产品上市后才开始释放巨额利润。因此，创新药投资要求投资者能够准确预测未来的收益，识别能够创造价值并最终实现盈利的公司，如图中B类公司具有强大的执行力、快速的产品上市速度以及良好的费用控制能力，能实现阴影面积远小于白影面积，从而创造超额利润。而在投资决策中，需规避那些融资金额特别高但产品专利到期后仍未能收回投资的公司。</w:t>
      </w:r>
    </w:p>
    <w:p>
      <w:r>
        <w:rPr>
          <w:rFonts w:ascii="等线(中文正文)" w:hAnsi="等线(中文正文)" w:cs="等线(中文正文)" w:eastAsia="等线(中文正文)"/>
          <w:b w:val="false"/>
          <w:i w:val="false"/>
          <w:sz w:val="20"/>
        </w:rPr>
        <w:t/>
      </w:r>
    </w:p>
    <w:p>
      <w:pPr>
        <w:pStyle w:val="ab"/>
      </w:pPr>
      <w:r>
        <w:t>在创新药投资中，如何区分和抓住事件驱动、宏观影响以及成长驱动的投资机会？</w:t>
      </w:r>
    </w:p>
    <w:p>
      <w:r>
        <w:rPr>
          <w:rFonts w:ascii="等线(中文正文)" w:hAnsi="等线(中文正文)" w:cs="等线(中文正文)" w:eastAsia="等线(中文正文)"/>
          <w:b w:val="false"/>
          <w:i w:val="false"/>
          <w:sz w:val="20"/>
        </w:rPr>
        <w:t>发言人1：在创新药投资中，我们关注不同的投资机会类型。事件驱动方面，例如在2018年我们通过local公司举例说明了创新药估值框架，该公司在关键临床数据发布和商业化合作达成时股价出现大幅上涨。成长驱动主要体现在创新药企业随着技术进步和产品管线推进，逐渐获得市场认可和资本增值。此外，我们还会利用每年4月到6月学术会议窗口期，许多企业会选择在此时发布优质数据，从而带来投资活跃期。</w:t>
      </w:r>
    </w:p>
    <w:p>
      <w:r>
        <w:rPr>
          <w:rFonts w:ascii="等线(中文正文)" w:hAnsi="等线(中文正文)" w:cs="等线(中文正文)" w:eastAsia="等线(中文正文)"/>
          <w:b w:val="false"/>
          <w:i w:val="false"/>
          <w:sz w:val="20"/>
        </w:rPr>
        <w:t/>
      </w:r>
    </w:p>
    <w:p>
      <w:pPr>
        <w:pStyle w:val="ab"/>
      </w:pPr>
      <w:r>
        <w:t>对于创新药企业，哪些要素是重要的？</w:t>
      </w:r>
    </w:p>
    <w:p>
      <w:r>
        <w:rPr>
          <w:rFonts w:ascii="等线(中文正文)" w:hAnsi="等线(中文正文)" w:cs="等线(中文正文)" w:eastAsia="等线(中文正文)"/>
          <w:b w:val="false"/>
          <w:i w:val="false"/>
          <w:sz w:val="20"/>
        </w:rPr>
        <w:t>发言人1：创新药企业的重要要素包括强大的前端研发能力，确保能研发出优质的新药产品；全球竞争力的临床能力，包括药物设计、资源运营和临床试验管理，以保证临床试验的成功率；商业化的专业能力，如医学知识、渠道专业化，决定公司能从好产品中收回多少收益；以及国际化战略，利用中国创新药在全球市场上的竞争力抢占国际市场。</w:t>
      </w:r>
    </w:p>
    <w:p>
      <w:r>
        <w:rPr>
          <w:rFonts w:ascii="等线(中文正文)" w:hAnsi="等线(中文正文)" w:cs="等线(中文正文)" w:eastAsia="等线(中文正文)"/>
          <w:b w:val="false"/>
          <w:i w:val="false"/>
          <w:sz w:val="20"/>
        </w:rPr>
        <w:t/>
      </w:r>
    </w:p>
    <w:p>
      <w:pPr>
        <w:pStyle w:val="ab"/>
      </w:pPr>
      <w:r>
        <w:t>创新药企业的估值方法是什么？</w:t>
      </w:r>
    </w:p>
    <w:p>
      <w:r>
        <w:rPr>
          <w:rFonts w:ascii="等线(中文正文)" w:hAnsi="等线(中文正文)" w:cs="等线(中文正文)" w:eastAsia="等线(中文正文)"/>
          <w:b w:val="false"/>
          <w:i w:val="false"/>
          <w:sz w:val="20"/>
        </w:rPr>
        <w:t>发言人1：我们认为未来现金流的贴现是最适合创新药企业的估值方法。估值过程涉及对未来创新收入的预测，包括销售量（基于产品上市时间、生命周期、专利到期、患者比例等因素）、售价（参考可比品种定价或采用药物经济学方法），以及毛利率、费用率、税率对净利润的预测，同时考虑资本开支、研发开支和营运资本变动来进行现金流预测并最终进行贴现估值。</w:t>
      </w:r>
    </w:p>
    <w:p>
      <w:r>
        <w:rPr>
          <w:rFonts w:ascii="等线(中文正文)" w:hAnsi="等线(中文正文)" w:cs="等线(中文正文)" w:eastAsia="等线(中文正文)"/>
          <w:b w:val="false"/>
          <w:i w:val="false"/>
          <w:sz w:val="20"/>
        </w:rPr>
        <w:t/>
      </w:r>
    </w:p>
    <w:p>
      <w:pPr>
        <w:pStyle w:val="ab"/>
      </w:pPr>
      <w:r>
        <w:t>在药品研发中，如何评估成功率？</w:t>
      </w:r>
    </w:p>
    <w:p>
      <w:r>
        <w:rPr>
          <w:rFonts w:ascii="等线(中文正文)" w:hAnsi="等线(中文正文)" w:cs="等线(中文正文)" w:eastAsia="等线(中文正文)"/>
          <w:b w:val="false"/>
          <w:i w:val="false"/>
          <w:sz w:val="20"/>
        </w:rPr>
        <w:t>发言人1：药品研发的成功率受适应症阶段、临床表现等多种因素影响，并非固定不变。一些一期临床试验表现出极大优势的药品，即使后期疗效有所折扣，也有可能拥有较高的成功率。因此，我们根据真实数据调整对成功率的预期，而非教条式地看待不同阶段的成功率。</w:t>
      </w:r>
    </w:p>
    <w:p>
      <w:r>
        <w:rPr>
          <w:rFonts w:ascii="等线(中文正文)" w:hAnsi="等线(中文正文)" w:cs="等线(中文正文)" w:eastAsia="等线(中文正文)"/>
          <w:b w:val="false"/>
          <w:i w:val="false"/>
          <w:sz w:val="20"/>
        </w:rPr>
        <w:t/>
      </w:r>
    </w:p>
    <w:p>
      <w:pPr>
        <w:pStyle w:val="ab"/>
      </w:pPr>
      <w:r>
        <w:t>创新药行业的生命周期和放量速度对估值有何影响？</w:t>
      </w:r>
    </w:p>
    <w:p>
      <w:r>
        <w:rPr>
          <w:rFonts w:ascii="等线(中文正文)" w:hAnsi="等线(中文正文)" w:cs="等线(中文正文)" w:eastAsia="等线(中文正文)"/>
          <w:b w:val="false"/>
          <w:i w:val="false"/>
          <w:sz w:val="20"/>
        </w:rPr>
        <w:t>发言人1：产品生命周期越长，其估值通常越高，因为它提供了更多的盈利时间和可能性。放量速度越快，意味着更早产生收入，现金流贴现方法下收入价值更高。此外，利率环境也会影响创新药企业的估值，低利率时期公司估值相对较高。</w:t>
      </w:r>
    </w:p>
    <w:p>
      <w:r>
        <w:rPr>
          <w:rFonts w:ascii="等线(中文正文)" w:hAnsi="等线(中文正文)" w:cs="等线(中文正文)" w:eastAsia="等线(中文正文)"/>
          <w:b w:val="false"/>
          <w:i w:val="false"/>
          <w:sz w:val="20"/>
        </w:rPr>
        <w:t/>
      </w:r>
    </w:p>
    <w:p>
      <w:pPr>
        <w:pStyle w:val="ab"/>
      </w:pPr>
      <w:r>
        <w:t>投资创新药时有哪些常见误区需要避免？</w:t>
      </w:r>
    </w:p>
    <w:p>
      <w:r>
        <w:rPr>
          <w:rFonts w:ascii="等线(中文正文)" w:hAnsi="等线(中文正文)" w:cs="等线(中文正文)" w:eastAsia="等线(中文正文)"/>
          <w:b w:val="false"/>
          <w:i w:val="false"/>
          <w:sz w:val="20"/>
        </w:rPr>
        <w:t>发言人1：常见误区包括价值陷阱和竞争格局的误解。首个产品失败后，公司可能需要时间重新布局并集中资源打造第二款产品，而非立即计算剩余价值。另外，创新药领域不存在绝对的竞争优势赛道，内卷现象普遍存在。在内卷中胜出的公司应具备前瞻布局和极强执行力。</w:t>
      </w:r>
    </w:p>
    <w:p>
      <w:r>
        <w:rPr>
          <w:rFonts w:ascii="等线(中文正文)" w:hAnsi="等线(中文正文)" w:cs="等线(中文正文)" w:eastAsia="等线(中文正文)"/>
          <w:b w:val="false"/>
          <w:i w:val="false"/>
          <w:sz w:val="20"/>
        </w:rPr>
        <w:t/>
      </w:r>
    </w:p>
    <w:p>
      <w:pPr>
        <w:pStyle w:val="ab"/>
      </w:pPr>
      <w:r>
        <w:t>中药投资的核心理念是什么？</w:t>
      </w:r>
    </w:p>
    <w:p>
      <w:r>
        <w:rPr>
          <w:rFonts w:ascii="等线(中文正文)" w:hAnsi="等线(中文正文)" w:cs="等线(中文正文)" w:eastAsia="等线(中文正文)"/>
          <w:b w:val="false"/>
          <w:i w:val="false"/>
          <w:sz w:val="20"/>
        </w:rPr>
        <w:t>发言人1：中药投资应当回归产品本质，解决临床未满足的需求。以索非布韦为例，尽管并非新技术，但因其解决了丙肝治愈的临床需求而成为爆款。因此，在投资时不应过分追求新技术，而是关注能否满足临床需求的产品。</w:t>
      </w:r>
    </w:p>
    <w:p>
      <w:r>
        <w:rPr>
          <w:rFonts w:ascii="等线(中文正文)" w:hAnsi="等线(中文正文)" w:cs="等线(中文正文)" w:eastAsia="等线(中文正文)"/>
          <w:b w:val="false"/>
          <w:i w:val="false"/>
          <w:sz w:val="20"/>
        </w:rPr>
        <w:t/>
      </w:r>
    </w:p>
    <w:p>
      <w:pPr>
        <w:pStyle w:val="ab"/>
      </w:pPr>
      <w:r>
        <w:t>对于创新药行业的未来趋势及投资风险有哪些看法？</w:t>
      </w:r>
    </w:p>
    <w:p>
      <w:r>
        <w:rPr>
          <w:rFonts w:ascii="等线(中文正文)" w:hAnsi="等线(中文正文)" w:cs="等线(中文正文)" w:eastAsia="等线(中文正文)"/>
          <w:b w:val="false"/>
          <w:i w:val="false"/>
          <w:sz w:val="20"/>
        </w:rPr>
        <w:t>发言人1：今年上半年创新药企业已取得显著的授权收入增长，预计全年将保持良好态势。同时，中国创新药的学术影响力持续提升，跨国药企寻求与中国合作的压力较大。投资风险包括人员变动、新药研发失败、催化剂落地后的下跌风险，以及宏观环境波动带来的风险。此外，CRO板块在经过深度调整后，随着研发资金增加和需求复苏，正进入较好的发展趋势。</w:t>
      </w:r>
    </w:p>
    <w:p>
      <w:r>
        <w:rPr>
          <w:rFonts w:ascii="等线(中文正文)" w:hAnsi="等线(中文正文)" w:cs="等线(中文正文)" w:eastAsia="等线(中文正文)"/>
          <w:b w:val="false"/>
          <w:i w:val="false"/>
          <w:sz w:val="20"/>
        </w:rPr>
        <w:t/>
      </w:r>
    </w:p>
    <w:p>
      <w:pPr>
        <w:pStyle w:val="ab"/>
      </w:pPr>
      <w:r>
        <w:t>在CDMO行业中，不同公司之间的主要区别是什么？</w:t>
      </w:r>
    </w:p>
    <w:p>
      <w:r>
        <w:rPr>
          <w:rFonts w:ascii="等线(中文正文)" w:hAnsi="等线(中文正文)" w:cs="等线(中文正文)" w:eastAsia="等线(中文正文)"/>
          <w:b w:val="false"/>
          <w:i w:val="false"/>
          <w:sz w:val="20"/>
        </w:rPr>
        <w:t>发言人1：不同CDMO公司之间有显著的区别，主要体现在细分领域的差异上。例如，有些公司专注于小分子CDMO，有些则专攻生物药、抗体偶联药物、多肽CMO或基因细胞治疗CDMO等领域。每种细分领域的景气度各不相同，且每家公司在产业链中的定位也各异，有的提供从药物发现到商业化生产的全流程服务，有的只专注于产业链中的某一阶段。</w:t>
      </w:r>
    </w:p>
    <w:p>
      <w:r>
        <w:rPr>
          <w:rFonts w:ascii="等线(中文正文)" w:hAnsi="等线(中文正文)" w:cs="等线(中文正文)" w:eastAsia="等线(中文正文)"/>
          <w:b w:val="false"/>
          <w:i w:val="false"/>
          <w:sz w:val="20"/>
        </w:rPr>
        <w:t/>
      </w:r>
    </w:p>
    <w:p>
      <w:pPr>
        <w:pStyle w:val="ab"/>
      </w:pPr>
      <w:r>
        <w:t>CDMO行业的投融资趋势如何？未来发展趋势是什么？</w:t>
      </w:r>
    </w:p>
    <w:p>
      <w:r>
        <w:rPr>
          <w:rFonts w:ascii="等线(中文正文)" w:hAnsi="等线(中文正文)" w:cs="等线(中文正文)" w:eastAsia="等线(中文正文)"/>
          <w:b w:val="false"/>
          <w:i w:val="false"/>
          <w:sz w:val="20"/>
        </w:rPr>
        <w:t>发言人1：2023年一季度，CDMO行业的投融资出现了回暖现象，整体行业呈现复苏趋势。这主要归因于全球生物科技技术驱动强劲以及由此带来的资本市场良好表现。企业行为也反映出对未来预期的乐观，如CDMO企业在线工程师维持高位、开发者投入回升等。预计这一回暖趋势将持续，因为全球药物研发需求持续增长，同时药企对研发回报率较低的问题亟待解决。</w:t>
      </w:r>
    </w:p>
    <w:p>
      <w:r>
        <w:rPr>
          <w:rFonts w:ascii="等线(中文正文)" w:hAnsi="等线(中文正文)" w:cs="等线(中文正文)" w:eastAsia="等线(中文正文)"/>
          <w:b w:val="false"/>
          <w:i w:val="false"/>
          <w:sz w:val="20"/>
        </w:rPr>
        <w:t/>
      </w:r>
    </w:p>
    <w:p>
      <w:pPr>
        <w:pStyle w:val="ab"/>
      </w:pPr>
      <w:r>
        <w:t>板块费用控制情况及外包趋势如何？</w:t>
      </w:r>
    </w:p>
    <w:p>
      <w:r>
        <w:rPr>
          <w:rFonts w:ascii="等线(中文正文)" w:hAnsi="等线(中文正文)" w:cs="等线(中文正文)" w:eastAsia="等线(中文正文)"/>
          <w:b w:val="false"/>
          <w:i w:val="false"/>
          <w:sz w:val="20"/>
        </w:rPr>
        <w:t>发言人1：板块费用控制经历了2021年至2024年的深度调整后，已稳定在健康的水平。龙头公司凭借规模效应实现了收入、订单和利润的全面恢复。全球供需格局显示，全球药物研发需求保持良好增长，药企研发回报率较低，促使外包诉求增强。预计2026年CDMO外包渗透率将达57%，外包率将持续提升，其中ADC、双特异性抗体、新一代小分子药物和多肽等领域的景气度较高。</w:t>
      </w:r>
    </w:p>
    <w:p>
      <w:r>
        <w:rPr>
          <w:rFonts w:ascii="等线(中文正文)" w:hAnsi="等线(中文正文)" w:cs="等线(中文正文)" w:eastAsia="等线(中文正文)"/>
          <w:b w:val="false"/>
          <w:i w:val="false"/>
          <w:sz w:val="20"/>
        </w:rPr>
        <w:t/>
      </w:r>
    </w:p>
    <w:p>
      <w:pPr>
        <w:pStyle w:val="ab"/>
      </w:pPr>
      <w:r>
        <w:t>AI制药领域的发展现状如何？</w:t>
      </w:r>
    </w:p>
    <w:p>
      <w:r>
        <w:rPr>
          <w:rFonts w:ascii="等线(中文正文)" w:hAnsi="等线(中文正文)" w:cs="等线(中文正文)" w:eastAsia="等线(中文正文)"/>
          <w:b w:val="false"/>
          <w:i w:val="false"/>
          <w:sz w:val="20"/>
        </w:rPr>
        <w:t>发言人1：AI制药领域经历了多年技术积累，尤其是在2018年Google DeepMind发布的AlphaFold蛋白预测模型后，AI正式进入蛋白结构预测领域，并在2024年进一步提升了预测准确率和蛋白抗体相互作用预测能力。这一技术突破带动了AI制药公司的资本投入意愿上升，多家跨国药企启动了AI制药方面的合作，并显示出明显的付费意愿。例如，IO Motive公司获得了21亿美元B轮融资，加强模型开发并将首个分子推进到临床阶段。</w:t>
      </w:r>
    </w:p>
    <w:p>
      <w:r>
        <w:rPr>
          <w:rFonts w:ascii="等线(中文正文)" w:hAnsi="等线(中文正文)" w:cs="等线(中文正文)" w:eastAsia="等线(中文正文)"/>
          <w:b w:val="false"/>
          <w:i w:val="false"/>
          <w:sz w:val="20"/>
        </w:rPr>
        <w:t/>
      </w:r>
    </w:p>
    <w:p>
      <w:pPr>
        <w:pStyle w:val="ab"/>
      </w:pPr>
      <w:r>
        <w:t>对于医疗器械及医疗服务行业的研究观点是什么？</w:t>
      </w:r>
    </w:p>
    <w:p>
      <w:r>
        <w:rPr>
          <w:rFonts w:ascii="等线(中文正文)" w:hAnsi="等线(中文正文)" w:cs="等线(中文正文)" w:eastAsia="等线(中文正文)"/>
          <w:b w:val="false"/>
          <w:i w:val="false"/>
          <w:sz w:val="20"/>
        </w:rPr>
        <w:t>发言人1：在过去几年中，医疗器械行业经历了从进口替代到创新和出海的转变。目前，国产化率已超过50%，出海市场空间远大于国内市场。虽然医疗器械板块在2021年至2024年间经历了下跌，但拐点逐步到来，尤其是高值耗材板块有望受益于集采优化，医疗设备板块依赖于优质产品和成功出海，体外诊断领域受到政策影响复杂，但仍存在进口替代空间，而低值耗材和家用器械板块则关注中国制造的成本优势和全球供应链竞争力。</w:t>
      </w:r>
    </w:p>
    <w:p>
      <w:r>
        <w:rPr>
          <w:rFonts w:ascii="等线(中文正文)" w:hAnsi="等线(中文正文)" w:cs="等线(中文正文)" w:eastAsia="等线(中文正文)"/>
          <w:b w:val="false"/>
          <w:i w:val="false"/>
          <w:sz w:val="20"/>
        </w:rPr>
        <w:t/>
      </w:r>
    </w:p>
    <w:p>
      <w:pPr>
        <w:pStyle w:val="ab"/>
      </w:pPr>
      <w:r>
        <w:t>中国在创新方面有哪些优势，能做出什么样的全球性创新产品？</w:t>
      </w:r>
    </w:p>
    <w:p>
      <w:r>
        <w:rPr>
          <w:rFonts w:ascii="等线(中文正文)" w:hAnsi="等线(中文正文)" w:cs="等线(中文正文)" w:eastAsia="等线(中文正文)"/>
          <w:b w:val="false"/>
          <w:i w:val="false"/>
          <w:sz w:val="20"/>
        </w:rPr>
        <w:t>发言人1：中国在创新方面优势明显，体现在家电和电动车等行业，是全球领先的领域。这得益于中国工程师的红利、勤奋精神以及产业优势，能够迅速进行产品研发和创新，同时拥有产业链成本降低的优势，在全球竞争中有性价比。此外，中国庞大的人口基数、丰富的患者资源和医生经验，为医疗药品与医疗器械的研发提供了良好的基础。例如，中国已经研发出全球最好的全身PET-CT独家5T核磁设备、检测速度领先的化学发光仪器，以及比进口产品更实用的消化内镜下止血夹、主动脉支架、隐形牙套等创新解决方案。</w:t>
      </w:r>
    </w:p>
    <w:p>
      <w:r>
        <w:rPr>
          <w:rFonts w:ascii="等线(中文正文)" w:hAnsi="等线(中文正文)" w:cs="等线(中文正文)" w:eastAsia="等线(中文正文)"/>
          <w:b w:val="false"/>
          <w:i w:val="false"/>
          <w:sz w:val="20"/>
        </w:rPr>
        <w:t/>
      </w:r>
    </w:p>
    <w:p>
      <w:pPr>
        <w:pStyle w:val="ab"/>
      </w:pPr>
      <w:r>
        <w:t>对于A股和港股医疗器械板块的投资机会，有哪些需要关注的方面？</w:t>
      </w:r>
    </w:p>
    <w:p>
      <w:r>
        <w:rPr>
          <w:rFonts w:ascii="等线(中文正文)" w:hAnsi="等线(中文正文)" w:cs="等线(中文正文)" w:eastAsia="等线(中文正文)"/>
          <w:b w:val="false"/>
          <w:i w:val="false"/>
          <w:sz w:val="20"/>
        </w:rPr>
        <w:t>发言人1：对于A股投资机会，投资者通常会关注季度业绩是否改善以及政策影响何时出清，同时也会关注新的科技趋势，如脑机接口和AI医疗等产业趋势，探究未来是否存在主题性投资机会。而对于港股来说，虽然整体贝塔活跃度不高，但是一些如微泰医疗、微创机器人等小型器械公司仍保持不错的业绩增速。这些公司因体量较小且处于新产品放量阶段，具有一定的投资潜力，只是流动性可能相对较低。</w:t>
      </w:r>
    </w:p>
    <w:p>
      <w:r>
        <w:rPr>
          <w:rFonts w:ascii="等线(中文正文)" w:hAnsi="等线(中文正文)" w:cs="等线(中文正文)" w:eastAsia="等线(中文正文)"/>
          <w:b w:val="false"/>
          <w:i w:val="false"/>
          <w:sz w:val="20"/>
        </w:rPr>
        <w:t/>
      </w:r>
    </w:p>
    <w:p>
      <w:pPr>
        <w:pStyle w:val="ab"/>
      </w:pPr>
      <w:r>
        <w:t>医疗器械板块如何分类，以及当前的投资逻辑是什么？并购在医疗器械行业中的重要性及具体表现形式是什么？</w:t>
      </w:r>
    </w:p>
    <w:p>
      <w:r>
        <w:rPr>
          <w:rFonts w:ascii="等线(中文正文)" w:hAnsi="等线(中文正文)" w:cs="等线(中文正文)" w:eastAsia="等线(中文正文)"/>
          <w:b w:val="false"/>
          <w:i w:val="false"/>
          <w:sz w:val="20"/>
        </w:rPr>
        <w:t>发言人1：医疗器械板块主要分为高值耗材、医疗设备和体外诊断三大细分领域。高值耗材主要用于医院手术中，如心脏支架、骨科人工关节等；医疗设备包括核磁共振、超声内镜等大型设备；体外诊断则涉及肿瘤、传染病检测，通过抽血、验血等方式获取检验报告。目前，医疗器械投资逻辑正从国产替代转向创新引领，并且并购也是重点关注的方向，因为全球医疗器械龙头企业多是通过并购成长起来的。相较于药品，医疗器械成长天花板较低，但其护城河较强，专利悬崖风险相对较小，并且强者恒强的现象较为明显。并购在医疗器械行业中非常重要，全球医疗器械龙头公司会积极进行并购以扩张产品管线，这与创新药的并购逻辑有所不同。国内企业目前以国内并购整合为主，未来也将有更多的海外并购案例出现。并购可以帮助企业在某一赛道上建立起销售体系和渠道网络，形成规模效应后导入更多产品，实现快速增长。例如迈瑞医疗通过并购三条业务线，在监护仪、超声、化学发光领域建立了竞争优势，并利用这些优势在心血管、骨科、呼吸机等科室快速导入新产品，实现了弯道超车式增长。</w:t>
      </w:r>
    </w:p>
    <w:p>
      <w:r>
        <w:rPr>
          <w:rFonts w:ascii="等线(中文正文)" w:hAnsi="等线(中文正文)" w:cs="等线(中文正文)" w:eastAsia="等线(中文正文)"/>
          <w:b w:val="false"/>
          <w:i w:val="false"/>
          <w:sz w:val="20"/>
        </w:rPr>
        <w:t/>
      </w:r>
    </w:p>
    <w:p>
      <w:pPr>
        <w:pStyle w:val="ab"/>
      </w:pPr>
      <w:r>
        <w:t>国际化对于医疗器械企业的重要性体现在哪些方面？</w:t>
      </w:r>
    </w:p>
    <w:p>
      <w:r>
        <w:rPr>
          <w:rFonts w:ascii="等线(中文正文)" w:hAnsi="等线(中文正文)" w:cs="等线(中文正文)" w:eastAsia="等线(中文正文)"/>
          <w:b w:val="false"/>
          <w:i w:val="false"/>
          <w:sz w:val="20"/>
        </w:rPr>
        <w:t>发言人1：国际化是当前研究医疗器械公司时的重要议题。国际业务收入占比高且增速持续的企业，会获得投资者更高的估值信心。随着国际影响力的提升，企业也会吸引更多的外资投资机构和资金，定价更具国际化特征。对于医疗器械企业而言，国际化的成功能带来确定的成长空间和持续性增速，有助于推动企业估值提升。</w:t>
      </w:r>
    </w:p>
    <w:p>
      <w:r>
        <w:rPr>
          <w:rFonts w:ascii="等线(中文正文)" w:hAnsi="等线(中文正文)" w:cs="等线(中文正文)" w:eastAsia="等线(中文正文)"/>
          <w:b w:val="false"/>
          <w:i w:val="false"/>
          <w:sz w:val="20"/>
        </w:rPr>
        <w:t/>
      </w:r>
    </w:p>
    <w:p>
      <w:pPr>
        <w:pStyle w:val="ab"/>
      </w:pPr>
      <w:r>
        <w:t>去年骨科板块表现不错，今年集采出清后，哪些赛道有可能业绩确定性和估值修复？</w:t>
      </w:r>
    </w:p>
    <w:p>
      <w:r>
        <w:rPr>
          <w:rFonts w:ascii="等线(中文正文)" w:hAnsi="等线(中文正文)" w:cs="等线(中文正文)" w:eastAsia="等线(中文正文)"/>
          <w:b w:val="false"/>
          <w:i w:val="false"/>
          <w:sz w:val="20"/>
        </w:rPr>
        <w:t>发言人1：今年电生理、消化介入等赛道在集采出清后，可能会迎来业绩确定性和估值修复。</w:t>
      </w:r>
    </w:p>
    <w:p>
      <w:r>
        <w:rPr>
          <w:rFonts w:ascii="等线(中文正文)" w:hAnsi="等线(中文正文)" w:cs="等线(中文正文)" w:eastAsia="等线(中文正文)"/>
          <w:b w:val="false"/>
          <w:i w:val="false"/>
          <w:sz w:val="20"/>
        </w:rPr>
        <w:t/>
      </w:r>
    </w:p>
    <w:p>
      <w:pPr>
        <w:pStyle w:val="ab"/>
      </w:pPr>
      <w:r>
        <w:t>集采对某些企业而言是否一定是利空？</w:t>
      </w:r>
    </w:p>
    <w:p>
      <w:r>
        <w:rPr>
          <w:rFonts w:ascii="等线(中文正文)" w:hAnsi="等线(中文正文)" w:cs="等线(中文正文)" w:eastAsia="等线(中文正文)"/>
          <w:b w:val="false"/>
          <w:i w:val="false"/>
          <w:sz w:val="20"/>
        </w:rPr>
        <w:t>发言人1：集采未必总是利空，对于国产化率低的赛道，国产企业在集采过程中可能大幅进入医院，借助此过程提升国产化率，凸显优势。</w:t>
      </w:r>
    </w:p>
    <w:p>
      <w:r>
        <w:rPr>
          <w:rFonts w:ascii="等线(中文正文)" w:hAnsi="等线(中文正文)" w:cs="等线(中文正文)" w:eastAsia="等线(中文正文)"/>
          <w:b w:val="false"/>
          <w:i w:val="false"/>
          <w:sz w:val="20"/>
        </w:rPr>
        <w:t/>
      </w:r>
    </w:p>
    <w:p>
      <w:pPr>
        <w:pStyle w:val="ab"/>
      </w:pPr>
      <w:r>
        <w:t>体外诊断领域除了集采政策外，还有哪些影响因素？</w:t>
      </w:r>
    </w:p>
    <w:p>
      <w:r>
        <w:rPr>
          <w:rFonts w:ascii="等线(中文正文)" w:hAnsi="等线(中文正文)" w:cs="等线(中文正文)" w:eastAsia="等线(中文正文)"/>
          <w:b w:val="false"/>
          <w:i w:val="false"/>
          <w:sz w:val="20"/>
        </w:rPr>
        <w:t>发言人1：体外诊断领域还受到增值税率提升政策、检验项目必要性压缩政策的影响，以及今年发布的检验收费价格下降政策，这些都会影响经销商向医院和厂商的采购价格。</w:t>
      </w:r>
    </w:p>
    <w:p>
      <w:r>
        <w:rPr>
          <w:rFonts w:ascii="等线(中文正文)" w:hAnsi="等线(中文正文)" w:cs="等线(中文正文)" w:eastAsia="等线(中文正文)"/>
          <w:b w:val="false"/>
          <w:i w:val="false"/>
          <w:sz w:val="20"/>
        </w:rPr>
        <w:t/>
      </w:r>
    </w:p>
    <w:p>
      <w:pPr>
        <w:pStyle w:val="ab"/>
      </w:pPr>
      <w:r>
        <w:t>医疗设备板块将会有何发展趋势？</w:t>
      </w:r>
    </w:p>
    <w:p>
      <w:r>
        <w:rPr>
          <w:rFonts w:ascii="等线(中文正文)" w:hAnsi="等线(中文正文)" w:cs="等线(中文正文)" w:eastAsia="等线(中文正文)"/>
          <w:b w:val="false"/>
          <w:i w:val="false"/>
          <w:sz w:val="20"/>
        </w:rPr>
        <w:t>发言人1：医疗设备板块将持续受到集采影响，国家卫健委发文明确省级要重点开展乙类医疗设备集采，同时各地市也会进行设备集采。国内企业依靠自身产品竞争力正提升，部分企业受益于国产替代并积极出海寻找发展空间。</w:t>
      </w:r>
    </w:p>
    <w:p>
      <w:r>
        <w:rPr>
          <w:rFonts w:ascii="等线(中文正文)" w:hAnsi="等线(中文正文)" w:cs="等线(中文正文)" w:eastAsia="等线(中文正文)"/>
          <w:b w:val="false"/>
          <w:i w:val="false"/>
          <w:sz w:val="20"/>
        </w:rPr>
        <w:t/>
      </w:r>
    </w:p>
    <w:p>
      <w:pPr>
        <w:pStyle w:val="ab"/>
      </w:pPr>
      <w:r>
        <w:t>医疗设备板块的投资逻辑主要看哪些方面？</w:t>
      </w:r>
    </w:p>
    <w:p>
      <w:r>
        <w:rPr>
          <w:rFonts w:ascii="等线(中文正文)" w:hAnsi="等线(中文正文)" w:cs="等线(中文正文)" w:eastAsia="等线(中文正文)"/>
          <w:b w:val="false"/>
          <w:i w:val="false"/>
          <w:sz w:val="20"/>
        </w:rPr>
        <w:t>发言人1：医疗设备板块投资逻辑主要看国内行业的景气周期、公司产品放量周期和上市周期的共振情况，同时关注政策导向（如新基建、强基层等）、资金来源以及医院自身经济状况。</w:t>
      </w:r>
    </w:p>
    <w:p>
      <w:r>
        <w:rPr>
          <w:rFonts w:ascii="等线(中文正文)" w:hAnsi="等线(中文正文)" w:cs="等线(中文正文)" w:eastAsia="等线(中文正文)"/>
          <w:b w:val="false"/>
          <w:i w:val="false"/>
          <w:sz w:val="20"/>
        </w:rPr>
        <w:t/>
      </w:r>
    </w:p>
    <w:p>
      <w:pPr>
        <w:pStyle w:val="ab"/>
      </w:pPr>
      <w:r>
        <w:t>医疗设备板块与高值耗材和体外诊断板块的投资逻辑有何差异？对于家用器械板块，投资应关注哪些因素？</w:t>
      </w:r>
    </w:p>
    <w:p>
      <w:r>
        <w:rPr>
          <w:rFonts w:ascii="等线(中文正文)" w:hAnsi="等线(中文正文)" w:cs="等线(中文正文)" w:eastAsia="等线(中文正文)"/>
          <w:b w:val="false"/>
          <w:i w:val="false"/>
          <w:sz w:val="20"/>
        </w:rPr>
        <w:t>发言人1：高值耗材和体外诊断板块侧重于产品渗透率和赛道市场空间，而医疗设备板块除了考虑上述因素外，还需关注产品在不同医院的采购和维护情况，商业模式上可能需要更多售后服务。家用器械板块投资需关注新品研发、国内消费背景（包括线上线下销售情况、消费水平）、以及产品的出海情况。此外，脑机接口、创新医疗技术（如光子CT、手术机器人）等也是值得关注的细分领域。</w:t>
      </w:r>
    </w:p>
    <w:p>
      <w:r>
        <w:rPr>
          <w:rFonts w:ascii="等线(中文正文)" w:hAnsi="等线(中文正文)" w:cs="等线(中文正文)" w:eastAsia="等线(中文正文)"/>
          <w:b w:val="false"/>
          <w:i w:val="false"/>
          <w:sz w:val="20"/>
        </w:rPr>
        <w:t/>
      </w:r>
    </w:p>
    <w:p>
      <w:pPr>
        <w:pStyle w:val="ab"/>
      </w:pPr>
      <w:r>
        <w:t>医疗设备上游板块的情况如何？</w:t>
      </w:r>
    </w:p>
    <w:p>
      <w:r>
        <w:rPr>
          <w:rFonts w:ascii="等线(中文正文)" w:hAnsi="等线(中文正文)" w:cs="等线(中文正文)" w:eastAsia="等线(中文正文)"/>
          <w:b w:val="false"/>
          <w:i w:val="false"/>
          <w:sz w:val="20"/>
        </w:rPr>
        <w:t>发言人1：医疗设备上游板块以提供零部件、代工服务为主，如采纳股份、英科医疗等企业，在做好代工业务的同时，也在自主品牌建设上取得进展。部分公司还能通过技术迁移，为其他高科技领域提供产品和服务。</w:t>
      </w:r>
    </w:p>
    <w:p>
      <w:r>
        <w:rPr>
          <w:rFonts w:ascii="等线(中文正文)" w:hAnsi="等线(中文正文)" w:cs="等线(中文正文)" w:eastAsia="等线(中文正文)"/>
          <w:b w:val="false"/>
          <w:i w:val="false"/>
          <w:sz w:val="20"/>
        </w:rPr>
        <w:t/>
      </w:r>
    </w:p>
    <w:p>
      <w:pPr>
        <w:pStyle w:val="ab"/>
      </w:pPr>
      <w:r>
        <w:t>马斯克曾提到机器人可能替代人类，你们关注的重点是什么？脑机接口和手术机器人的前景如何？</w:t>
      </w:r>
    </w:p>
    <w:p>
      <w:r>
        <w:rPr>
          <w:rFonts w:ascii="等线(中文正文)" w:hAnsi="等线(中文正文)" w:cs="等线(中文正文)" w:eastAsia="等线(中文正文)"/>
          <w:b w:val="false"/>
          <w:i w:val="false"/>
          <w:sz w:val="20"/>
        </w:rPr>
        <w:t>发言人1：我们重点关注的是手术机器人，尤其是AI赋能和远程手术方面在全球的应用进展，以及脑机接口技术，它涉及到数字永生、人形机器人与人之间的新型交互方式，以及人与机器、人与机器人之间的硬件控制。短期内主要用于治病，长期有望在消费领域和正常人的日常生活中有所应用。目前需要等待技术突破，无论是半侵入式还是侵入式产品。国内有公司对标马斯克进行创新，并且中国在脑机接口和手术机器人等领域正快速追赶全球先进水平。</w:t>
      </w:r>
    </w:p>
    <w:p>
      <w:r>
        <w:rPr>
          <w:rFonts w:ascii="等线(中文正文)" w:hAnsi="等线(中文正文)" w:cs="等线(中文正文)" w:eastAsia="等线(中文正文)"/>
          <w:b w:val="false"/>
          <w:i w:val="false"/>
          <w:sz w:val="20"/>
        </w:rPr>
        <w:t/>
      </w:r>
    </w:p>
    <w:p>
      <w:pPr>
        <w:pStyle w:val="ab"/>
      </w:pPr>
      <w:r>
        <w:t>对于创新医疗器械的投资机会有哪些？</w:t>
      </w:r>
    </w:p>
    <w:p>
      <w:r>
        <w:rPr>
          <w:rFonts w:ascii="等线(中文正文)" w:hAnsi="等线(中文正文)" w:cs="等线(中文正文)" w:eastAsia="等线(中文正文)"/>
          <w:b w:val="false"/>
          <w:i w:val="false"/>
          <w:sz w:val="20"/>
        </w:rPr>
        <w:t>发言人1：我们梳理了多个大赛道，如心血管、口腔、眼科、内镜和医疗设备等领域，其中不乏未来有百亿乃至百亿美元市场潜力的产品。此外，脑机接口领域也有望达到万亿市场空间。</w:t>
      </w:r>
    </w:p>
    <w:p>
      <w:r>
        <w:rPr>
          <w:rFonts w:ascii="等线(中文正文)" w:hAnsi="等线(中文正文)" w:cs="等线(中文正文)" w:eastAsia="等线(中文正文)"/>
          <w:b w:val="false"/>
          <w:i w:val="false"/>
          <w:sz w:val="20"/>
        </w:rPr>
        <w:t/>
      </w:r>
    </w:p>
    <w:p>
      <w:pPr>
        <w:pStyle w:val="ab"/>
      </w:pPr>
      <w:r>
        <w:t>中国医疗器械行业在全球的地位和发展情况怎样？</w:t>
      </w:r>
    </w:p>
    <w:p>
      <w:r>
        <w:rPr>
          <w:rFonts w:ascii="等线(中文正文)" w:hAnsi="等线(中文正文)" w:cs="等线(中文正文)" w:eastAsia="等线(中文正文)"/>
          <w:b w:val="false"/>
          <w:i w:val="false"/>
          <w:sz w:val="20"/>
        </w:rPr>
        <w:t>发言人1：中国医疗器械行业通过进口替代和国产化率提升实现了快速发展，工程师红利和产能优势逐渐在全球显现。创新式和改进式创新将使中国在全球医疗器械市场崭露头角，尤其看好手术机器人赛道。同时，中国企业在海外市场也取得了一些突破，并积极参与并购整合，学习国际龙头企业的经验。</w:t>
      </w:r>
    </w:p>
    <w:p>
      <w:r>
        <w:rPr>
          <w:rFonts w:ascii="等线(中文正文)" w:hAnsi="等线(中文正文)" w:cs="等线(中文正文)" w:eastAsia="等线(中文正文)"/>
          <w:b w:val="false"/>
          <w:i w:val="false"/>
          <w:sz w:val="20"/>
        </w:rPr>
        <w:t/>
      </w:r>
    </w:p>
    <w:p>
      <w:pPr>
        <w:pStyle w:val="ab"/>
      </w:pPr>
      <w:r>
        <w:t>在医疗服务板块，有哪些值得关注的变化？</w:t>
      </w:r>
    </w:p>
    <w:p>
      <w:r>
        <w:rPr>
          <w:rFonts w:ascii="等线(中文正文)" w:hAnsi="等线(中文正文)" w:cs="等线(中文正文)" w:eastAsia="等线(中文正文)"/>
          <w:b w:val="false"/>
          <w:i w:val="false"/>
          <w:sz w:val="20"/>
        </w:rPr>
        <w:t>发言人1：医疗服务板块受政策影响较大，如DRG控费政策、药品降价政策等，企业需关注成本控制能力。同时，部分医疗服务如眼科、口腔类工程与消费相关，而植入白内障等部分业务属于严肃医疗范畴，因此需要加强政策研究和消费趋势分析。</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2026-08-25T14:21:45Z</dcterms:created>
  <dc:creator>Apache POI</dc:creator>
</cp:coreProperties>
</file>