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唯品会[VIPS.N]2026年第二季度业绩交流会 260825_导读</w:t>
      </w:r>
    </w:p>
    <w:p>
      <w:pPr>
        <w:pStyle w:val="a0"/>
        <w:jc w:val="center"/>
      </w:pPr>
      <w:r>
        <w:t>2026年08月25日 22:10</w:t>
      </w:r>
    </w:p>
    <w:p>
      <w:pPr>
        <w:pStyle w:val="a7"/>
      </w:pPr>
      <w:r>
        <w:t>关键词</w:t>
      </w:r>
    </w:p>
    <w:p>
      <w:r>
        <w:rPr>
          <w:rFonts w:ascii="等线(中文正文)" w:hAnsi="等线(中文正文)" w:cs="等线(中文正文)" w:eastAsia="等线(中文正文)"/>
          <w:b w:val="false"/>
          <w:i w:val="false"/>
          <w:sz w:val="20"/>
        </w:rPr>
        <w:t xml:space="preserve">价值 消费 Q3 8月 6月 收入 指引 高端 低端 下半年 展望 全年 预估 去年 微微跌 消费城市 利润率 毛利率 Q4 回购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VIP商店公司在2026年第二季度有限的收益电话会议中，由投资者关系部门经理开场，提醒参与者注意通话中可能包含的前瞻性声明及其风险。会议由公司创始人、董事长兼CEO以及CFO共同参与，他们强调了公司面对零售环境挑战时，通过专注于高质量和高价值商品，保持了顾客的信任和忠诚度。公司的技术战略，尤其是AI的运用，被视为提升运营效率和顾客体验的关键。公司承诺对盈利能力和财务健康度的持续关注，并讨论了未来的发展方向和股东回报策略。会议还提到，公司已向股东返还了37亿美元，展现了其商业模式的强劲和健康现金流对长期股东回报的影响。此外，公司宣布继续遵循全年股东回报政策，目标总派息比为75%，第一季度已发放约4亿美元股息，并获得了10亿美元股票回购授权，表明将继续推进股票回购计划。会议感谢提问者并提醒如有更多问题可联系IR团队，同时表达了对听众的感谢，并预告了下次会议。</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VIP店铺2026年第二季度财报电话会议</w:t>
      </w:r>
    </w:p>
    <w:p>
      <w:r>
        <w:rPr>
          <w:rFonts w:ascii="等线(中文正文)" w:hAnsi="等线(中文正文)" w:cs="等线(中文正文)" w:eastAsia="等线(中文正文)"/>
          <w:b w:val="false"/>
          <w:i w:val="false"/>
          <w:sz w:val="20"/>
        </w:rPr>
        <w:t>在一场面向投资者的电话会议上，主持人引导了关于VIP店铺2026年第二季度财务表现的讨论。会议开始时，主持人提醒与会者，讨论中包含前瞻性声明，这些声明基于当前预期，但可能因多种风险和不确定性而与实际结果存在差异。随后，会议转向财务数据的解读，其中涉及非GAAP运营收入、非GAAP净利润等非标准财务指标的说明，这些指标与美国通用会计准则不符。详细解释可在公司的收益报告中找到。</w:t>
      </w:r>
    </w:p>
    <w:p>
      <w:r>
        <w:rPr>
          <w:rFonts w:ascii="等线(中文正文)" w:hAnsi="等线(中文正文)" w:cs="等线(中文正文)" w:eastAsia="等线(中文正文)"/>
          <w:b w:val="false"/>
          <w:i w:val="false"/>
          <w:sz w:val="20"/>
        </w:rPr>
        <w:t/>
      </w:r>
    </w:p>
    <w:p>
      <w:pPr>
        <w:pStyle w:val="ab"/>
        <w:numPr>
          <w:numId w:val="2"/>
        </w:numPr>
      </w:pPr>
      <w:r>
        <w:t>01:50 电商平台应对零售挑战的策略与成效</w:t>
      </w:r>
    </w:p>
    <w:p>
      <w:r>
        <w:rPr>
          <w:rFonts w:ascii="等线(中文正文)" w:hAnsi="等线(中文正文)" w:cs="等线(中文正文)" w:eastAsia="等线(中文正文)"/>
          <w:b w:val="false"/>
          <w:i w:val="false"/>
          <w:sz w:val="20"/>
        </w:rPr>
        <w:t>面对价值导向且选择性高的消费者市场，电商平台坚守核心价值，提供精选高需求商品并深化VIP服务，实现SVIP用户增长与在线消费提升。通过与品牌深度合作，调整产品组合，强化供应链灵活性，巩固平台差异化优势。启动集成营销活动，刷新品牌口号，聚焦顾客终身价值，推动高质量增长，确保运营稳定性和市场竞争力。</w:t>
      </w:r>
    </w:p>
    <w:p>
      <w:r>
        <w:rPr>
          <w:rFonts w:ascii="等线(中文正文)" w:hAnsi="等线(中文正文)" w:cs="等线(中文正文)" w:eastAsia="等线(中文正文)"/>
          <w:b w:val="false"/>
          <w:i w:val="false"/>
          <w:sz w:val="20"/>
        </w:rPr>
        <w:t/>
      </w:r>
    </w:p>
    <w:p>
      <w:pPr>
        <w:pStyle w:val="ab"/>
        <w:numPr>
          <w:numId w:val="3"/>
        </w:numPr>
      </w:pPr>
      <w:r>
        <w:t>08:05 科技与零售融合推动业务增长</w:t>
      </w:r>
    </w:p>
    <w:p>
      <w:r>
        <w:rPr>
          <w:rFonts w:ascii="等线(中文正文)" w:hAnsi="等线(中文正文)" w:cs="等线(中文正文)" w:eastAsia="等线(中文正文)"/>
          <w:b w:val="false"/>
          <w:i w:val="false"/>
          <w:sz w:val="20"/>
        </w:rPr>
        <w:t>对话强调了通过深度整合AI技术，如智能客户服务和AIGC，显著提升了营销效率和客户体验。同时，通过扩展线下零售网络，特别是在中国主要城市，实现了业务的持续增长。整体策略聚焦于利用科技提升运营效率，强化客户体验，以实现可持续发展。</w:t>
      </w:r>
    </w:p>
    <w:p>
      <w:r>
        <w:rPr>
          <w:rFonts w:ascii="等线(中文正文)" w:hAnsi="等线(中文正文)" w:cs="等线(中文正文)" w:eastAsia="等线(中文正文)"/>
          <w:b w:val="false"/>
          <w:i w:val="false"/>
          <w:sz w:val="20"/>
        </w:rPr>
        <w:t/>
      </w:r>
    </w:p>
    <w:p>
      <w:pPr>
        <w:pStyle w:val="ab"/>
        <w:numPr>
          <w:numId w:val="4"/>
        </w:numPr>
      </w:pPr>
      <w:r>
        <w:t>11:31 公司第二季度财务表现与资本回报策略</w:t>
      </w:r>
    </w:p>
    <w:p>
      <w:r>
        <w:rPr>
          <w:rFonts w:ascii="等线(中文正文)" w:hAnsi="等线(中文正文)" w:cs="等线(中文正文)" w:eastAsia="等线(中文正文)"/>
          <w:b w:val="false"/>
          <w:i w:val="false"/>
          <w:sz w:val="20"/>
        </w:rPr>
        <w:t>公司在第二季度面临市场挑战，但通过执行纪律性策略保持了盈利能力。尽管收入位于指导范围的低端，但非经常性税务调整后，公司展现出强劲的盈利能力与现金流。公司持续优化资本结构，通过派息和回购等方式向股东返还价值，目标每年返还至少75%的利润。此外，公司成功推进资产证券化，提升资本效率，为长期可持续增长奠定基础。</w:t>
      </w:r>
    </w:p>
    <w:p>
      <w:r>
        <w:rPr>
          <w:rFonts w:ascii="等线(中文正文)" w:hAnsi="等线(中文正文)" w:cs="等线(中文正文)" w:eastAsia="等线(中文正文)"/>
          <w:b w:val="false"/>
          <w:i w:val="false"/>
          <w:sz w:val="20"/>
        </w:rPr>
        <w:t/>
      </w:r>
    </w:p>
    <w:p>
      <w:pPr>
        <w:pStyle w:val="ab"/>
        <w:numPr>
          <w:numId w:val="5"/>
        </w:numPr>
      </w:pPr>
      <w:r>
        <w:t>15:41 2026年第二季度财务报告及第三季度预测</w:t>
      </w:r>
    </w:p>
    <w:p>
      <w:r>
        <w:rPr>
          <w:rFonts w:ascii="等线(中文正文)" w:hAnsi="等线(中文正文)" w:cs="等线(中文正文)" w:eastAsia="等线(中文正文)"/>
          <w:b w:val="false"/>
          <w:i w:val="false"/>
          <w:sz w:val="20"/>
        </w:rPr>
        <w:t>公司2026年第二季度营收达到24.7亿元人民币，同比增长23.5%，毛利率为23%，但运营成本上升至88%。非运营收入和支出均有所波动，主要受投资收益和税务调整影响。预计第三季度营收将下降5%-10%，具体取决于市场和运营条件。报告强调了税务合规和未来资本结构优化的重要性。</w:t>
      </w:r>
    </w:p>
    <w:p>
      <w:r>
        <w:rPr>
          <w:rFonts w:ascii="等线(中文正文)" w:hAnsi="等线(中文正文)" w:cs="等线(中文正文)" w:eastAsia="等线(中文正文)"/>
          <w:b w:val="false"/>
          <w:i w:val="false"/>
          <w:sz w:val="20"/>
        </w:rPr>
        <w:t/>
      </w:r>
    </w:p>
    <w:p>
      <w:pPr>
        <w:pStyle w:val="ab"/>
        <w:numPr>
          <w:numId w:val="6"/>
        </w:numPr>
      </w:pPr>
      <w:r>
        <w:t>25:58 管理层回应消费情绪与下半年展望</w:t>
      </w:r>
    </w:p>
    <w:p>
      <w:r>
        <w:rPr>
          <w:rFonts w:ascii="等线(中文正文)" w:hAnsi="等线(中文正文)" w:cs="等线(中文正文)" w:eastAsia="等线(中文正文)"/>
          <w:b w:val="false"/>
          <w:i w:val="false"/>
          <w:sz w:val="20"/>
        </w:rPr>
        <w:t>对话围绕消费者情绪及公司财务趋势展开。管理层指出，当前消费者情绪并不高涨，更加注重价值与预算，导致整体消费水平与过去相差不大。对于第三季度，虽然7、8月份情况较6月稍有改善，但整体仍面临压力。管理层预计下半年乃至全年，公司营收将比去年略有下滑。</w:t>
      </w:r>
    </w:p>
    <w:p>
      <w:r>
        <w:rPr>
          <w:rFonts w:ascii="等线(中文正文)" w:hAnsi="等线(中文正文)" w:cs="等线(中文正文)" w:eastAsia="等线(中文正文)"/>
          <w:b w:val="false"/>
          <w:i w:val="false"/>
          <w:sz w:val="20"/>
        </w:rPr>
        <w:t/>
      </w:r>
    </w:p>
    <w:p>
      <w:pPr>
        <w:pStyle w:val="ab"/>
        <w:numPr>
          <w:numId w:val="7"/>
        </w:numPr>
      </w:pPr>
      <w:r>
        <w:t>30:24 管理层解析Q2利润率下降原因及未来展望</w:t>
      </w:r>
    </w:p>
    <w:p>
      <w:r>
        <w:rPr>
          <w:rFonts w:ascii="等线(中文正文)" w:hAnsi="等线(中文正文)" w:cs="等线(中文正文)" w:eastAsia="等线(中文正文)"/>
          <w:b w:val="false"/>
          <w:i w:val="false"/>
          <w:sz w:val="20"/>
        </w:rPr>
        <w:t>对话讨论了二季度营业利润率的下降趋势，主要归因于退税率上升导致仓储费用增加及人员费用占比大。管理层表示毛利率保持稳定，甚至有微增可能，并对Q3和Q4的净利润率保持信心，预计不会有太大波动。强调将维持健康利润，避免补贴策略，专注于企业健康发展的长期目标。</w:t>
      </w:r>
    </w:p>
    <w:p>
      <w:r>
        <w:rPr>
          <w:rFonts w:ascii="等线(中文正文)" w:hAnsi="等线(中文正文)" w:cs="等线(中文正文)" w:eastAsia="等线(中文正文)"/>
          <w:b w:val="false"/>
          <w:i w:val="false"/>
          <w:sz w:val="20"/>
        </w:rPr>
        <w:t/>
      </w:r>
    </w:p>
    <w:p>
      <w:pPr>
        <w:pStyle w:val="ab"/>
        <w:numPr>
          <w:numId w:val="8"/>
        </w:numPr>
      </w:pPr>
      <w:r>
        <w:t>35:29 税务调整对公司影响及未来计划</w:t>
      </w:r>
    </w:p>
    <w:p>
      <w:r>
        <w:rPr>
          <w:rFonts w:ascii="等线(中文正文)" w:hAnsi="等线(中文正文)" w:cs="等线(中文正文)" w:eastAsia="等线(中文正文)"/>
          <w:b w:val="false"/>
          <w:i w:val="false"/>
          <w:sz w:val="20"/>
        </w:rPr>
        <w:t>对话围绕公司近期的税务调整展开，强调这不是税务机关的处罚，而是公司优化合规框架的一部分。调整被视为资本流动的交易成本，而非运营费用。公司计划通过多种途径优化离岸流动性，并预期未来利润率将受到显著影响。尽管如此，公司承诺继续履行长期股东承诺，包括股份回购和分红计划。</w:t>
      </w:r>
    </w:p>
    <w:p>
      <w:r>
        <w:rPr>
          <w:rFonts w:ascii="等线(中文正文)" w:hAnsi="等线(中文正文)" w:cs="等线(中文正文)" w:eastAsia="等线(中文正文)"/>
          <w:b w:val="false"/>
          <w:i w:val="false"/>
          <w:sz w:val="20"/>
        </w:rPr>
        <w:t/>
      </w:r>
    </w:p>
    <w:p>
      <w:pPr>
        <w:pStyle w:val="ab"/>
        <w:numPr>
          <w:numId w:val="9"/>
        </w:numPr>
      </w:pPr>
      <w:r>
        <w:t>38:08 管理层展望珊珊奥莱增长与股东回报计划</w:t>
      </w:r>
    </w:p>
    <w:p>
      <w:r>
        <w:rPr>
          <w:rFonts w:ascii="等线(中文正文)" w:hAnsi="等线(中文正文)" w:cs="等线(中文正文)" w:eastAsia="等线(中文正文)"/>
          <w:b w:val="false"/>
          <w:i w:val="false"/>
          <w:sz w:val="20"/>
        </w:rPr>
        <w:t>讨论了珊珊奥莱上半年20%的增长率，预计下半年维持相同增长势头，要求同店销售额实现三位数增长。提及了两个已完成上市的项目，其余奥莱项目将根据策略和市场条件推进。公司已恢复回购计划，新增10亿美元回购额度，预计全年股东回报总额不低于2025年净利润的75%，上半年已分配约2.4亿美元股息，计划继续实施回购以增强股东回报。</w:t>
      </w:r>
    </w:p>
    <w:p>
      <w:r>
        <w:rPr>
          <w:rFonts w:ascii="等线(中文正文)" w:hAnsi="等线(中文正文)" w:cs="等线(中文正文)" w:eastAsia="等线(中文正文)"/>
          <w:b w:val="false"/>
          <w:i w:val="false"/>
          <w:sz w:val="20"/>
        </w:rPr>
        <w:t/>
      </w:r>
    </w:p>
    <w:p>
      <w:pPr>
        <w:pStyle w:val="a7"/>
      </w:pPr>
      <w:r>
        <w:t>发言总结</w:t>
      </w:r>
    </w:p>
    <w:p>
      <w:pPr>
        <w:pStyle w:val="ab"/>
        <w:numPr>
          <w:numId w:val="10"/>
        </w:numPr>
      </w:pPr>
      <w:r>
        <w:t>发言人1</w:t>
      </w:r>
    </w:p>
    <w:p>
      <w:r>
        <w:rPr>
          <w:rFonts w:ascii="等线(中文正文)" w:hAnsi="等线(中文正文)" w:cs="等线(中文正文)" w:eastAsia="等线(中文正文)"/>
          <w:b w:val="false"/>
          <w:i w:val="false"/>
          <w:sz w:val="20"/>
        </w:rPr>
        <w:t>首先强调了VIP商店控股公司实现了超过20%的快速增长潜力，同时现有业务预计以个位数增长。公司成功在上海股票交易所上市商业票据，这标志着一个重要的战略里程碑，进一步扩展了其在资本市场的影响，总规模达到人民币770亿元，成为最大的商业票据之一。他介绍了两家运营了约十年、在各自地区占据领先地位的商业票据渠道，并概述了公司的长期股东回报政策，包括已向股东返还的37亿美元以及未来继续实施股息回拨的计划。他承诺，公司将继续通过稳健的商业模式和健康的现金流来应对外部因素的影响，确保稳定和强劲的盈利能力，承诺在2026年继续执行全年股东回报政策。
在财务业绩方面，他主持了VIP商店第二季度2026年的电话会议，强调了公司如何在挑战的零售环境中坚守核心价值，通过精选高需求、深度打折的商品来满足顾客的价值追求。他提醒参与者讨论中包含前瞻性陈述，并提到了可能影响实际结果的潜在风险和不确定性。他还提到，VIP商店通过与品牌伙伴的深度合作以及调整产品组合来适应更挑剔的顾客需求，以保持竞争力。此外，他强调了公司在财务表现、技术创新和市场扩张方面的进展，并对未来提出了积极的展望。最后，他提到了对未来几个季度的收入预测，并表示公司将继续致力于为股东创造价值。</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问：What are the potential risks and uncertainties mentioned in the speech?</w:t>
      </w:r>
    </w:p>
    <w:p>
      <w:r>
        <w:rPr>
          <w:rFonts w:ascii="等线(中文正文)" w:hAnsi="等线(中文正文)" w:cs="等线(中文正文)" w:eastAsia="等线(中文正文)"/>
          <w:b w:val="false"/>
          <w:i w:val="false"/>
          <w:sz w:val="20"/>
        </w:rPr>
        <w:t>发言人1 答：The potential risks and uncertainties include those outlined in the company's safe harbor statement in their earnings release and public filings with the security and exchange commission.</w:t>
      </w:r>
    </w:p>
    <w:p>
      <w:r>
        <w:rPr>
          <w:rFonts w:ascii="等线(中文正文)" w:hAnsi="等线(中文正文)" w:cs="等线(中文正文)" w:eastAsia="等线(中文正文)"/>
          <w:b w:val="false"/>
          <w:i w:val="false"/>
          <w:sz w:val="20"/>
        </w:rPr>
        <w:t/>
      </w:r>
    </w:p>
    <w:p>
      <w:pPr>
        <w:pStyle w:val="ab"/>
      </w:pPr>
      <w:r>
        <w:t>发言人1 问：How did the retail environment present during the second quarter?</w:t>
      </w:r>
    </w:p>
    <w:p>
      <w:r>
        <w:rPr>
          <w:rFonts w:ascii="等线(中文正文)" w:hAnsi="等线(中文正文)" w:cs="等线(中文正文)" w:eastAsia="等线(中文正文)"/>
          <w:b w:val="false"/>
          <w:i w:val="false"/>
          <w:sz w:val="20"/>
        </w:rPr>
        <w:t>发言人1 答：The retail environment in the second quarter was challenging, with customers being highly selective and focused on value.</w:t>
      </w:r>
    </w:p>
    <w:p>
      <w:r>
        <w:rPr>
          <w:rFonts w:ascii="等线(中文正文)" w:hAnsi="等线(中文正文)" w:cs="等线(中文正文)" w:eastAsia="等线(中文正文)"/>
          <w:b w:val="false"/>
          <w:i w:val="false"/>
          <w:sz w:val="20"/>
        </w:rPr>
        <w:t/>
      </w:r>
    </w:p>
    <w:p>
      <w:pPr>
        <w:pStyle w:val="ab"/>
      </w:pPr>
      <w:r>
        <w:t>发言人1 问：What strategy did the company follow to maintain its top line performance?How did the SVIP service contribute to the company's business during the quarter?</w:t>
      </w:r>
    </w:p>
    <w:p>
      <w:r>
        <w:rPr>
          <w:rFonts w:ascii="等线(中文正文)" w:hAnsi="等线(中文正文)" w:cs="等线(中文正文)" w:eastAsia="等线(中文正文)"/>
          <w:b w:val="false"/>
          <w:i w:val="false"/>
          <w:sz w:val="20"/>
        </w:rPr>
        <w:t>发言人1 答：The company focused on delivering a highly curated selection of high-demand, deeply discounted products to its loyal customer base, rather than chasing lower value products.The SVIP service served as a resilient anchor for the company's business, with active SVIP growing by eight percent year over year and driving 54 percent of online spending.</w:t>
      </w:r>
    </w:p>
    <w:p>
      <w:r>
        <w:rPr>
          <w:rFonts w:ascii="等线(中文正文)" w:hAnsi="等线(中文正文)" w:cs="等线(中文正文)" w:eastAsia="等线(中文正文)"/>
          <w:b w:val="false"/>
          <w:i w:val="false"/>
          <w:sz w:val="20"/>
        </w:rPr>
        <w:t/>
      </w:r>
    </w:p>
    <w:p>
      <w:pPr>
        <w:pStyle w:val="ab"/>
      </w:pPr>
      <w:r>
        <w:t>发言人1 问：What is the significance of the one p model for the company?</w:t>
      </w:r>
    </w:p>
    <w:p>
      <w:r>
        <w:rPr>
          <w:rFonts w:ascii="等线(中文正文)" w:hAnsi="等线(中文正文)" w:cs="等线(中文正文)" w:eastAsia="等线(中文正文)"/>
          <w:b w:val="false"/>
          <w:i w:val="false"/>
          <w:sz w:val="20"/>
        </w:rPr>
        <w:t>发言人1 答：The one p model allows the company to build greater trust with brand partners, leading to them actively adjusting merchandise allocation for the platform.</w:t>
      </w:r>
    </w:p>
    <w:p>
      <w:r>
        <w:rPr>
          <w:rFonts w:ascii="等线(中文正文)" w:hAnsi="等线(中文正文)" w:cs="等线(中文正文)" w:eastAsia="等线(中文正文)"/>
          <w:b w:val="false"/>
          <w:i w:val="false"/>
          <w:sz w:val="20"/>
        </w:rPr>
        <w:t/>
      </w:r>
    </w:p>
    <w:p>
      <w:pPr>
        <w:pStyle w:val="ab"/>
      </w:pPr>
      <w:r>
        <w:t>发言人1 问：What changes are being made to the exclusive made for VIP shop line?</w:t>
      </w:r>
    </w:p>
    <w:p>
      <w:r>
        <w:rPr>
          <w:rFonts w:ascii="等线(中文正文)" w:hAnsi="等线(中文正文)" w:cs="等线(中文正文)" w:eastAsia="等线(中文正文)"/>
          <w:b w:val="false"/>
          <w:i w:val="false"/>
          <w:sz w:val="20"/>
        </w:rPr>
        <w:t>发言人1 答：The company is advancing the repositioning of the exclusive made for VIP shop line to drive stronger customer share and loyalty.</w:t>
      </w:r>
    </w:p>
    <w:p>
      <w:r>
        <w:rPr>
          <w:rFonts w:ascii="等线(中文正文)" w:hAnsi="等线(中文正文)" w:cs="等线(中文正文)" w:eastAsia="等线(中文正文)"/>
          <w:b w:val="false"/>
          <w:i w:val="false"/>
          <w:sz w:val="20"/>
        </w:rPr>
        <w:t/>
      </w:r>
    </w:p>
    <w:p>
      <w:pPr>
        <w:pStyle w:val="ab"/>
      </w:pPr>
      <w:r>
        <w:t>发言人1 问：What is the impact of the AI integration across the business?</w:t>
      </w:r>
    </w:p>
    <w:p>
      <w:r>
        <w:rPr>
          <w:rFonts w:ascii="等线(中文正文)" w:hAnsi="等线(中文正文)" w:cs="等线(中文正文)" w:eastAsia="等线(中文正文)"/>
          <w:b w:val="false"/>
          <w:i w:val="false"/>
          <w:sz w:val="20"/>
        </w:rPr>
        <w:t>发言人1 答：AI integration across the business is driving tangible results, such as improving conversion rates and enabling faster and more accurate marketing.</w:t>
      </w:r>
    </w:p>
    <w:p>
      <w:r>
        <w:rPr>
          <w:rFonts w:ascii="等线(中文正文)" w:hAnsi="等线(中文正文)" w:cs="等线(中文正文)" w:eastAsia="等线(中文正文)"/>
          <w:b w:val="false"/>
          <w:i w:val="false"/>
          <w:sz w:val="20"/>
        </w:rPr>
        <w:t/>
      </w:r>
    </w:p>
    <w:p>
      <w:pPr>
        <w:pStyle w:val="ab"/>
      </w:pPr>
      <w:r>
        <w:t>发言人1 问：What are the company's future plans regarding technology and merchandising?</w:t>
      </w:r>
    </w:p>
    <w:p>
      <w:r>
        <w:rPr>
          <w:rFonts w:ascii="等线(中文正文)" w:hAnsi="等线(中文正文)" w:cs="等线(中文正文)" w:eastAsia="等线(中文正文)"/>
          <w:b w:val="false"/>
          <w:i w:val="false"/>
          <w:sz w:val="20"/>
        </w:rPr>
        <w:t>发言人1 答：The company plans to continue scaling AI technology beyond individual tools into a unified intelligent layer, and to sharpen merchandising and elevate the customer experience.</w:t>
      </w:r>
    </w:p>
    <w:p>
      <w:r>
        <w:rPr>
          <w:rFonts w:ascii="等线(中文正文)" w:hAnsi="等线(中文正文)" w:cs="等线(中文正文)" w:eastAsia="等线(中文正文)"/>
          <w:b w:val="false"/>
          <w:i w:val="false"/>
          <w:sz w:val="20"/>
        </w:rPr>
        <w:t/>
      </w:r>
    </w:p>
    <w:p>
      <w:pPr>
        <w:pStyle w:val="ab"/>
      </w:pPr>
      <w:r>
        <w:t>发言人1 问：What is the status of the Sana outlet expansion and its performance?</w:t>
      </w:r>
    </w:p>
    <w:p>
      <w:r>
        <w:rPr>
          <w:rFonts w:ascii="等线(中文正文)" w:hAnsi="等线(中文正文)" w:cs="等线(中文正文)" w:eastAsia="等线(中文正文)"/>
          <w:b w:val="false"/>
          <w:i w:val="false"/>
          <w:sz w:val="20"/>
        </w:rPr>
        <w:t>发言人1 答：Sana has expanded to 22 operation outlets, becoming China's largest outlet chain by total sales in the first half, with Shanghai continuing strong sales momentum.</w:t>
      </w:r>
    </w:p>
    <w:p>
      <w:r>
        <w:rPr>
          <w:rFonts w:ascii="等线(中文正文)" w:hAnsi="等线(中文正文)" w:cs="等线(中文正文)" w:eastAsia="等线(中文正文)"/>
          <w:b w:val="false"/>
          <w:i w:val="false"/>
          <w:sz w:val="20"/>
        </w:rPr>
        <w:t/>
      </w:r>
    </w:p>
    <w:p>
      <w:pPr>
        <w:pStyle w:val="ab"/>
      </w:pPr>
      <w:r>
        <w:t>发言人1 问：How did the top line performance reflect in the second quarter?</w:t>
      </w:r>
    </w:p>
    <w:p>
      <w:r>
        <w:rPr>
          <w:rFonts w:ascii="等线(中文正文)" w:hAnsi="等线(中文正文)" w:cs="等线(中文正文)" w:eastAsia="等线(中文正文)"/>
          <w:b w:val="false"/>
          <w:i w:val="false"/>
          <w:sz w:val="20"/>
        </w:rPr>
        <w:t>发言人1 答：The top line for the second quarter came in at the lower end of the guided range, reflecting a slowdown in consumer sentiment, but the company maintained disciplined execution and preserved profitability and margins.</w:t>
      </w:r>
    </w:p>
    <w:p>
      <w:r>
        <w:rPr>
          <w:rFonts w:ascii="等线(中文正文)" w:hAnsi="等线(中文正文)" w:cs="等线(中文正文)" w:eastAsia="等线(中文正文)"/>
          <w:b w:val="false"/>
          <w:i w:val="false"/>
          <w:sz w:val="20"/>
        </w:rPr>
        <w:t/>
      </w:r>
    </w:p>
    <w:p>
      <w:pPr>
        <w:pStyle w:val="ab"/>
      </w:pPr>
      <w:r>
        <w:t>发言人1 问：What percentage of the company's distributable profits were returned to shareholders through dividends and stock repurchases?</w:t>
      </w:r>
    </w:p>
    <w:p>
      <w:r>
        <w:rPr>
          <w:rFonts w:ascii="等线(中文正文)" w:hAnsi="等线(中文正文)" w:cs="等线(中文正文)" w:eastAsia="等线(中文正文)"/>
          <w:b w:val="false"/>
          <w:i w:val="false"/>
          <w:sz w:val="20"/>
        </w:rPr>
        <w:t>发言人1 答：The company distributed approximately all interview stolen, reflecting a commitment to returning no less than 75% of its distributable profits to shareholders over four years, with a focus on supporting solid fundamental business performance.</w:t>
      </w:r>
    </w:p>
    <w:p>
      <w:r>
        <w:rPr>
          <w:rFonts w:ascii="等线(中文正文)" w:hAnsi="等线(中文正文)" w:cs="等线(中文正文)" w:eastAsia="等线(中文正文)"/>
          <w:b w:val="false"/>
          <w:i w:val="false"/>
          <w:sz w:val="20"/>
        </w:rPr>
        <w:t/>
      </w:r>
    </w:p>
    <w:p>
      <w:pPr>
        <w:pStyle w:val="ab"/>
      </w:pPr>
      <w:r>
        <w:t>发言人1 问：What does the company's strategy involving financial flexibility and investment in mature assets entail?</w:t>
      </w:r>
    </w:p>
    <w:p>
      <w:r>
        <w:rPr>
          <w:rFonts w:ascii="等线(中文正文)" w:hAnsi="等线(中文正文)" w:cs="等线(中文正文)" w:eastAsia="等线(中文正文)"/>
          <w:b w:val="false"/>
          <w:i w:val="false"/>
          <w:sz w:val="20"/>
        </w:rPr>
        <w:t>发言人1 答：The company's strategy involves unlocking the value of its assets, enhancing capital efficiency, and successfully launching two public retail projects by streamlining maturing tenancy operations in infrastructure and commercial sectors. This approach is meant to demonstrate the quality of the company's outlets and their market evaluation while also creating a framework for investing proceeds from mature assets into further disciplined extensions.</w:t>
      </w:r>
    </w:p>
    <w:p>
      <w:r>
        <w:rPr>
          <w:rFonts w:ascii="等线(中文正文)" w:hAnsi="等线(中文正文)" w:cs="等线(中文正文)" w:eastAsia="等线(中文正文)"/>
          <w:b w:val="false"/>
          <w:i w:val="false"/>
          <w:sz w:val="20"/>
        </w:rPr>
        <w:t/>
      </w:r>
    </w:p>
    <w:p>
      <w:pPr>
        <w:pStyle w:val="ab"/>
      </w:pPr>
      <w:r>
        <w:t>发言人1 问：What are the main financial results for the second quarter of 2026?</w:t>
      </w:r>
    </w:p>
    <w:p>
      <w:r>
        <w:rPr>
          <w:rFonts w:ascii="等线(中文正文)" w:hAnsi="等线(中文正文)" w:cs="等线(中文正文)" w:eastAsia="等线(中文正文)"/>
          <w:b w:val="false"/>
          <w:i w:val="false"/>
          <w:sz w:val="20"/>
        </w:rPr>
        <w:t>发言人1 答：For the second quarter of 2026, the company's total revenues were RMB 24.7 billion, with a gross profit of RMB 5.8 billion. The gross margin was 23%, compared to 23.5% in the prior period. Operating income decreased by 2.4% year over year to RMB 4.5 billion, representing 19% of total revenue. Total assets creation expenses were 88.0% compared to 10.7% in the prior period. Technology and content expenses were RMB 486.2 million, down from RMB 442.0 million in the prior period, as a percentage of total revenue.</w:t>
      </w:r>
    </w:p>
    <w:p>
      <w:r>
        <w:rPr>
          <w:rFonts w:ascii="等线(中文正文)" w:hAnsi="等线(中文正文)" w:cs="等线(中文正文)" w:eastAsia="等线(中文正文)"/>
          <w:b w:val="false"/>
          <w:i w:val="false"/>
          <w:sz w:val="20"/>
        </w:rPr>
        <w:t/>
      </w:r>
    </w:p>
    <w:p>
      <w:pPr>
        <w:pStyle w:val="ab"/>
      </w:pPr>
      <w:r>
        <w:t>发言人1 问：How did the company's operating expenses evolve, and what was the impact of share-based compensation expenses?</w:t>
      </w:r>
    </w:p>
    <w:p>
      <w:r>
        <w:rPr>
          <w:rFonts w:ascii="等线(中文正文)" w:hAnsi="等线(中文正文)" w:cs="等线(中文正文)" w:eastAsia="等线(中文正文)"/>
          <w:b w:val="false"/>
          <w:i w:val="false"/>
          <w:sz w:val="20"/>
        </w:rPr>
        <w:t>发言人1 答：Piano and admitted ly expenses declined by 17.5% year over year to RMB 1.1 billion, primarily due to higher share-based compensation expenses reported in the prior period. As a percentage of total assets, general and administrative expenses were 400% compared to 5% in the five-year period.</w:t>
      </w:r>
    </w:p>
    <w:p>
      <w:r>
        <w:rPr>
          <w:rFonts w:ascii="等线(中文正文)" w:hAnsi="等线(中文正文)" w:cs="等线(中文正文)" w:eastAsia="等线(中文正文)"/>
          <w:b w:val="false"/>
          <w:i w:val="false"/>
          <w:sz w:val="20"/>
        </w:rPr>
        <w:t/>
      </w:r>
    </w:p>
    <w:p>
      <w:pPr>
        <w:pStyle w:val="ab"/>
      </w:pPr>
      <w:r>
        <w:t>发言人1 问：What were the changes in income tax expenses, and what causes them?</w:t>
      </w:r>
    </w:p>
    <w:p>
      <w:r>
        <w:rPr>
          <w:rFonts w:ascii="等线(中文正文)" w:hAnsi="等线(中文正文)" w:cs="等线(中文正文)" w:eastAsia="等线(中文正文)"/>
          <w:b w:val="false"/>
          <w:i w:val="false"/>
          <w:sz w:val="20"/>
        </w:rPr>
        <w:t>发言人1 答：Income tax expenses were RMB 3.3 billion in the second quarter of 2026, an increase primarily attributable to two items: an income tax benefit of RMB 160 million related to an investment in the extension of the commercial group, and an approved withholding tax expense of RMB 156.7 million, reflecting the withholding tax of historical dividend distributions from Milan to Hong Kong regarding the tax policies of tax havens.</w:t>
      </w:r>
    </w:p>
    <w:p>
      <w:r>
        <w:rPr>
          <w:rFonts w:ascii="等线(中文正文)" w:hAnsi="等线(中文正文)" w:cs="等线(中文正文)" w:eastAsia="等线(中文正文)"/>
          <w:b w:val="false"/>
          <w:i w:val="false"/>
          <w:sz w:val="20"/>
        </w:rPr>
        <w:t/>
      </w:r>
    </w:p>
    <w:p>
      <w:pPr>
        <w:pStyle w:val="ab"/>
      </w:pPr>
      <w:r>
        <w:t>发言人1 问：What is the company's effective income tax rate for the second quarter of 2026?</w:t>
      </w:r>
    </w:p>
    <w:p>
      <w:r>
        <w:rPr>
          <w:rFonts w:ascii="等线(中文正文)" w:hAnsi="等线(中文正文)" w:cs="等线(中文正文)" w:eastAsia="等线(中文正文)"/>
          <w:b w:val="false"/>
          <w:i w:val="false"/>
          <w:sz w:val="20"/>
        </w:rPr>
        <w:t>发言人1 答：The company's effective income tax rate for the second quarter of 2026 was 6.6%, which is stable compared to the prior year.</w:t>
      </w:r>
    </w:p>
    <w:p>
      <w:r>
        <w:rPr>
          <w:rFonts w:ascii="等线(中文正文)" w:hAnsi="等线(中文正文)" w:cs="等线(中文正文)" w:eastAsia="等线(中文正文)"/>
          <w:b w:val="false"/>
          <w:i w:val="false"/>
          <w:sz w:val="20"/>
        </w:rPr>
        <w:t/>
      </w:r>
    </w:p>
    <w:p>
      <w:pPr>
        <w:pStyle w:val="ab"/>
      </w:pPr>
      <w:r>
        <w:t>发言人1 问：What is the company's current dividend policy and how does it plan to handle withholding tax expenses?</w:t>
      </w:r>
    </w:p>
    <w:p>
      <w:r>
        <w:rPr>
          <w:rFonts w:ascii="等线(中文正文)" w:hAnsi="等线(中文正文)" w:cs="等线(中文正文)" w:eastAsia="等线(中文正文)"/>
          <w:b w:val="false"/>
          <w:i w:val="false"/>
          <w:sz w:val="20"/>
        </w:rPr>
        <w:t>发言人1 答：The company has a policy of paying out dividends while handling withholding tax expenses at the applicable rate for any onshore earned dividend reinvestment. This policy is expected to increase the cost of direct onshore investment activities; however, it is also expected to improve the broader capital structure.</w:t>
      </w:r>
    </w:p>
    <w:p>
      <w:r>
        <w:rPr>
          <w:rFonts w:ascii="等线(中文正文)" w:hAnsi="等线(中文正文)" w:cs="等线(中文正文)" w:eastAsia="等线(中文正文)"/>
          <w:b w:val="false"/>
          <w:i w:val="false"/>
          <w:sz w:val="20"/>
        </w:rPr>
        <w:t/>
      </w:r>
    </w:p>
    <w:p>
      <w:pPr>
        <w:pStyle w:val="ab"/>
      </w:pPr>
      <w:r>
        <w:t>发言人1 问：How did the company's net income attributable to VIPS shop shareholders grow, and what was the non-GAAP net income?</w:t>
      </w:r>
    </w:p>
    <w:p>
      <w:r>
        <w:rPr>
          <w:rFonts w:ascii="等线(中文正文)" w:hAnsi="等线(中文正文)" w:cs="等线(中文正文)" w:eastAsia="等线(中文正文)"/>
          <w:b w:val="false"/>
          <w:i w:val="false"/>
          <w:sz w:val="20"/>
        </w:rPr>
        <w:t>发言人1 答：Net income attributable to VIPS shop shareholders increased by 189.1% year over year to RMB 3.92 billion from RMB 218 million in the prior period. The non-GAAP net income attributable to VIPS shop shareholders was RMB 882 million, an increase from RMB 291 million in the prior period.</w:t>
      </w:r>
    </w:p>
    <w:p>
      <w:r>
        <w:rPr>
          <w:rFonts w:ascii="等线(中文正文)" w:hAnsi="等线(中文正文)" w:cs="等线(中文正文)" w:eastAsia="等线(中文正文)"/>
          <w:b w:val="false"/>
          <w:i w:val="false"/>
          <w:sz w:val="20"/>
        </w:rPr>
        <w:t/>
      </w:r>
    </w:p>
    <w:p>
      <w:pPr>
        <w:pStyle w:val="ab"/>
      </w:pPr>
      <w:r>
        <w:t>发言人1 问：What is the company's cash and cash equivalents position as of December 31, 2026, and what are the expectations for total revenue in the third quarter?</w:t>
      </w:r>
    </w:p>
    <w:p>
      <w:r>
        <w:rPr>
          <w:rFonts w:ascii="等线(中文正文)" w:hAnsi="等线(中文正文)" w:cs="等线(中文正文)" w:eastAsia="等线(中文正文)"/>
          <w:b w:val="false"/>
          <w:i w:val="false"/>
          <w:sz w:val="20"/>
        </w:rPr>
        <w:t>发言人1 答：As of December 31, 2026, the company had cash and cash equivalents and restricted cash of RMB 29.29 billion, and short-term investments of RMB 3.16 billion. For the third quarter of 2026, the company expects total revenue to be between RMB 20.0 billion and RMB 21.4 billion, representing a year-over-year decrease of approximately 5% to 30%.</w:t>
      </w:r>
    </w:p>
    <w:p>
      <w:r>
        <w:rPr>
          <w:rFonts w:ascii="等线(中文正文)" w:hAnsi="等线(中文正文)" w:cs="等线(中文正文)" w:eastAsia="等线(中文正文)"/>
          <w:b w:val="false"/>
          <w:i w:val="false"/>
          <w:sz w:val="20"/>
        </w:rPr>
        <w:t/>
      </w:r>
    </w:p>
    <w:p>
      <w:pPr>
        <w:pStyle w:val="ab"/>
      </w:pPr>
      <w:r>
        <w:t>发言人1 问：首先，从整体上看，消费者的情绪如何？</w:t>
      </w:r>
    </w:p>
    <w:p>
      <w:r>
        <w:rPr>
          <w:rFonts w:ascii="等线(中文正文)" w:hAnsi="等线(中文正文)" w:cs="等线(中文正文)" w:eastAsia="等线(中文正文)"/>
          <w:b w:val="false"/>
          <w:i w:val="false"/>
          <w:sz w:val="20"/>
        </w:rPr>
        <w:t>发言人1 答：目前消费者的整体消费情绪并不高涨，消费者变得更加理智和精明，只购买有价值的商品，尽量减少不必要的消费。</w:t>
      </w:r>
    </w:p>
    <w:p>
      <w:r>
        <w:rPr>
          <w:rFonts w:ascii="等线(中文正文)" w:hAnsi="等线(中文正文)" w:cs="等线(中文正文)" w:eastAsia="等线(中文正文)"/>
          <w:b w:val="false"/>
          <w:i w:val="false"/>
          <w:sz w:val="20"/>
        </w:rPr>
        <w:t/>
      </w:r>
    </w:p>
    <w:p>
      <w:pPr>
        <w:pStyle w:val="ab"/>
      </w:pPr>
      <w:r>
        <w:t>发言人1 问：对于Q3（7月和8月）以及下半年的消费情况，你们有何看法？</w:t>
      </w:r>
    </w:p>
    <w:p>
      <w:r>
        <w:rPr>
          <w:rFonts w:ascii="等线(中文正文)" w:hAnsi="等线(中文正文)" w:cs="等线(中文正文)" w:eastAsia="等线(中文正文)"/>
          <w:b w:val="false"/>
          <w:i w:val="false"/>
          <w:sz w:val="20"/>
        </w:rPr>
        <w:t>发言人1 答：我们预计Q3和下半年的整体消费情况相比过去不会有显著提升，可能会微微下跌。因此，我们对全年和下半年的预估表明，总收入可能会比去年略有下降。</w:t>
      </w:r>
    </w:p>
    <w:p>
      <w:r>
        <w:rPr>
          <w:rFonts w:ascii="等线(中文正文)" w:hAnsi="等线(中文正文)" w:cs="等线(中文正文)" w:eastAsia="等线(中文正文)"/>
          <w:b w:val="false"/>
          <w:i w:val="false"/>
          <w:sz w:val="20"/>
        </w:rPr>
        <w:t/>
      </w:r>
    </w:p>
    <w:p>
      <w:pPr>
        <w:pStyle w:val="ab"/>
      </w:pPr>
      <w:r>
        <w:t>发言人1 问：Q2的营业利润率同比下降有所下降，我们应该如何看待Q3和Q4的毛利率、运营支出及营业利润率的趋势，并能否量化分析？</w:t>
      </w:r>
    </w:p>
    <w:p>
      <w:r>
        <w:rPr>
          <w:rFonts w:ascii="等线(中文正文)" w:hAnsi="等线(中文正文)" w:cs="等线(中文正文)" w:eastAsia="等线(中文正文)"/>
          <w:b w:val="false"/>
          <w:i w:val="false"/>
          <w:sz w:val="20"/>
        </w:rPr>
        <w:t>发言人1 答：在Q2，由于退税率逐年上升导致仓储费用增加，而前端业务没有做出较大调整，毛利率可能与去年持平或微增。此外，人员费用等消耗性开支占比可能较大，所以预计整体运营利润率与去年基本持平，不会有太大变化。对于Q3和Q4，我们对利润保持有信心，预计净利润率会与过去相当，不会有太大波动。</w:t>
      </w:r>
    </w:p>
    <w:p>
      <w:r>
        <w:rPr>
          <w:rFonts w:ascii="等线(中文正文)" w:hAnsi="等线(中文正文)" w:cs="等线(中文正文)" w:eastAsia="等线(中文正文)"/>
          <w:b w:val="false"/>
          <w:i w:val="false"/>
          <w:sz w:val="20"/>
        </w:rPr>
        <w:t/>
      </w:r>
    </w:p>
    <w:p>
      <w:pPr>
        <w:pStyle w:val="ab"/>
      </w:pPr>
      <w:r>
        <w:t>发言人1 问：关于最近的税项调整，是否涉及税务机关对公司处罚的事项？从长期来看，这一调整对公司未来的利润率预测会产生什么影响？</w:t>
      </w:r>
    </w:p>
    <w:p>
      <w:r>
        <w:rPr>
          <w:rFonts w:ascii="等线(中文正文)" w:hAnsi="等线(中文正文)" w:cs="等线(中文正文)" w:eastAsia="等线(中文正文)"/>
          <w:b w:val="false"/>
          <w:i w:val="false"/>
          <w:sz w:val="20"/>
        </w:rPr>
        <w:t>发言人1 答：这次税项调整并非出于处罚，而是公司持续改进税务框架、采用最佳实践以增强合规性和提供更大税收确定性的一部分。这个调整被视为与资本流动相关的交易成本，而非计入营业费用或营业利润率。尽管如此，我们仍预计这一调整会对未来的利润率产生有意义的影响。公司坚定致力于长期股东回报，并保持对长期股东承诺的承诺。</w:t>
      </w:r>
    </w:p>
    <w:p>
      <w:r>
        <w:rPr>
          <w:rFonts w:ascii="等线(中文正文)" w:hAnsi="等线(中文正文)" w:cs="等线(中文正文)" w:eastAsia="等线(中文正文)"/>
          <w:b w:val="false"/>
          <w:i w:val="false"/>
          <w:sz w:val="20"/>
        </w:rPr>
        <w:t/>
      </w:r>
    </w:p>
    <w:p>
      <w:pPr>
        <w:pStyle w:val="ab"/>
      </w:pPr>
      <w:r>
        <w:t>发言人1 问：首先，莎莎奥莱在2K取得了强劲的增长表现，管理层对于下半年的增长展望是怎样的？随着前两个rate成功上市，我们如何展望下半年股东回报的水平和节奏？</w:t>
      </w:r>
    </w:p>
    <w:p>
      <w:r>
        <w:rPr>
          <w:rFonts w:ascii="等线(中文正文)" w:hAnsi="等线(中文正文)" w:cs="等线(中文正文)" w:eastAsia="等线(中文正文)"/>
          <w:b w:val="false"/>
          <w:i w:val="false"/>
          <w:sz w:val="20"/>
        </w:rPr>
        <w:t>发言人1 答：我们对下半年的展望将根据市场情况和莎莎奥莱项目的具体进展来调整，会关注剩余奥莱项目的推进节奏，并确保各项计划顺利实施。我们已恢复了回购计划，并在八月新增了10亿美元的回购计划，这表明我们对股东回报的重视。我们预计下半年将保持积极的股东回报策略，具体细节将根据市场条件和公司财务状况适时调整。</w:t>
      </w:r>
    </w:p>
    <w:p>
      <w:r>
        <w:rPr>
          <w:rFonts w:ascii="等线(中文正文)" w:hAnsi="等线(中文正文)" w:cs="等线(中文正文)" w:eastAsia="等线(中文正文)"/>
          <w:b w:val="false"/>
          <w:i w:val="false"/>
          <w:sz w:val="20"/>
        </w:rPr>
        <w:t/>
      </w:r>
    </w:p>
    <w:p>
      <w:pPr>
        <w:pStyle w:val="ab"/>
      </w:pPr>
      <w:r>
        <w:t>发言人1 问：What is the growth performance of HGMV for the first half of the year?</w:t>
      </w:r>
    </w:p>
    <w:p>
      <w:r>
        <w:rPr>
          <w:rFonts w:ascii="等线(中文正文)" w:hAnsi="等线(中文正文)" w:cs="等线(中文正文)" w:eastAsia="等线(中文正文)"/>
          <w:b w:val="false"/>
          <w:i w:val="false"/>
          <w:sz w:val="20"/>
        </w:rPr>
        <w:t>发言人1 答：The HGMV growth performance for the first half of the year is over twenty-eight percent.</w:t>
      </w:r>
    </w:p>
    <w:p>
      <w:r>
        <w:rPr>
          <w:rFonts w:ascii="等线(中文正文)" w:hAnsi="等线(中文正文)" w:cs="等线(中文正文)" w:eastAsia="等线(中文正文)"/>
          <w:b w:val="false"/>
          <w:i w:val="false"/>
          <w:sz w:val="20"/>
        </w:rPr>
        <w:t/>
      </w:r>
    </w:p>
    <w:p>
      <w:pPr>
        <w:pStyle w:val="ab"/>
      </w:pPr>
      <w:r>
        <w:t>发言人1 问：What is the projected growth for Q3 and Q4?</w:t>
      </w:r>
    </w:p>
    <w:p>
      <w:r>
        <w:rPr>
          <w:rFonts w:ascii="等线(中文正文)" w:hAnsi="等线(中文正文)" w:cs="等线(中文正文)" w:eastAsia="等线(中文正文)"/>
          <w:b w:val="false"/>
          <w:i w:val="false"/>
          <w:sz w:val="20"/>
        </w:rPr>
        <w:t>发言人1 答：The projected growth for Q3 and Q4 is expected to be 20%, in line with the performance of Q1 and Q2 combined.</w:t>
      </w:r>
    </w:p>
    <w:p>
      <w:r>
        <w:rPr>
          <w:rFonts w:ascii="等线(中文正文)" w:hAnsi="等线(中文正文)" w:cs="等线(中文正文)" w:eastAsia="等线(中文正文)"/>
          <w:b w:val="false"/>
          <w:i w:val="false"/>
          <w:sz w:val="20"/>
        </w:rPr>
        <w:t/>
      </w:r>
    </w:p>
    <w:p>
      <w:pPr>
        <w:pStyle w:val="ab"/>
      </w:pPr>
      <w:r>
        <w:t>发言人1 问：What is the outlook for the second half of the year in terms of growth performance?What are the expectations for same store sales growth?</w:t>
      </w:r>
    </w:p>
    <w:p>
      <w:r>
        <w:rPr>
          <w:rFonts w:ascii="等线(中文正文)" w:hAnsi="等线(中文正文)" w:cs="等线(中文正文)" w:eastAsia="等线(中文正文)"/>
          <w:b w:val="false"/>
          <w:i w:val="false"/>
          <w:sz w:val="20"/>
        </w:rPr>
        <w:t>发言人1 答：The outlook for the second half of the year in terms of growth performance is optimistic, with a expectation to maintain a similar growth momentum to the first half, aiming for an additional 20% growth in Q3 and Q4.The expectations for same store sales growth are that they should have a三位数 growth, which implies a very substantial increase.</w:t>
      </w:r>
    </w:p>
    <w:p>
      <w:r>
        <w:rPr>
          <w:rFonts w:ascii="等线(中文正文)" w:hAnsi="等线(中文正文)" w:cs="等线(中文正文)" w:eastAsia="等线(中文正文)"/>
          <w:b w:val="false"/>
          <w:i w:val="false"/>
          <w:sz w:val="20"/>
        </w:rPr>
        <w:t/>
      </w:r>
    </w:p>
    <w:p>
      <w:pPr>
        <w:pStyle w:val="ab"/>
      </w:pPr>
      <w:r>
        <w:t>发言人1 问：What was the successful listing on the Shanghai Stock Exchange and the size of the commercial rate?</w:t>
      </w:r>
    </w:p>
    <w:p>
      <w:r>
        <w:rPr>
          <w:rFonts w:ascii="等线(中文正文)" w:hAnsi="等线(中文正文)" w:cs="等线(中文正文)" w:eastAsia="等线(中文正文)"/>
          <w:b w:val="false"/>
          <w:i w:val="false"/>
          <w:sz w:val="20"/>
        </w:rPr>
        <w:t>发言人1 答：The successful listing on the Shanghai Stock Exchange was for a commercial rate of RMB seven point seven billion, making it the largest commercial rate in terms of funding scale.</w:t>
      </w:r>
    </w:p>
    <w:p>
      <w:r>
        <w:rPr>
          <w:rFonts w:ascii="等线(中文正文)" w:hAnsi="等线(中文正文)" w:cs="等线(中文正文)" w:eastAsia="等线(中文正文)"/>
          <w:b w:val="false"/>
          <w:i w:val="false"/>
          <w:sz w:val="20"/>
        </w:rPr>
        <w:t/>
      </w:r>
    </w:p>
    <w:p>
      <w:pPr>
        <w:pStyle w:val="ab"/>
      </w:pPr>
      <w:r>
        <w:t>发言人1 问：What is the dividend return to shareholders for the year 2021 to 2025?</w:t>
      </w:r>
    </w:p>
    <w:p>
      <w:r>
        <w:rPr>
          <w:rFonts w:ascii="等线(中文正文)" w:hAnsi="等线(中文正文)" w:cs="等线(中文正文)" w:eastAsia="等线(中文正文)"/>
          <w:b w:val="false"/>
          <w:i w:val="false"/>
          <w:sz w:val="20"/>
        </w:rPr>
        <w:t>发言人1 答：For the years 2021 to 2025, a total of $3.7 billion has been returned to shareholders.</w:t>
      </w:r>
    </w:p>
    <w:p>
      <w:r>
        <w:rPr>
          <w:rFonts w:ascii="等线(中文正文)" w:hAnsi="等线(中文正文)" w:cs="等线(中文正文)" w:eastAsia="等线(中文正文)"/>
          <w:b w:val="false"/>
          <w:i w:val="false"/>
          <w:sz w:val="20"/>
        </w:rPr>
        <w:t/>
      </w:r>
    </w:p>
    <w:p>
      <w:pPr>
        <w:pStyle w:val="ab"/>
      </w:pPr>
      <w:r>
        <w:t>发言人1 问：What is the company's commitment regarding shareholder returns for 2026?</w:t>
      </w:r>
    </w:p>
    <w:p>
      <w:r>
        <w:rPr>
          <w:rFonts w:ascii="等线(中文正文)" w:hAnsi="等线(中文正文)" w:cs="等线(中文正文)" w:eastAsia="等线(中文正文)"/>
          <w:b w:val="false"/>
          <w:i w:val="false"/>
          <w:sz w:val="20"/>
        </w:rPr>
        <w:t>发言人1 答：For 2026, the company remains fully committed to its full-year shareholder return policy, targeting a total payout ratio of 75% of the 2025 net income, and has already distributed approximately $400 million in dividends.</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2026-08-25T14:21:45Z</dcterms:created>
  <dc:creator>Apache POI</dc:creator>
</cp:coreProperties>
</file>