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华勤技术2026年中报业绩交流会 260825_导读</w:t>
      </w:r>
    </w:p>
    <w:p>
      <w:pPr>
        <w:pStyle w:val="a0"/>
        <w:jc w:val="center"/>
      </w:pPr>
      <w:r>
        <w:t>2026年08月25日 22:10</w:t>
      </w:r>
    </w:p>
    <w:p>
      <w:pPr>
        <w:pStyle w:val="a7"/>
      </w:pPr>
      <w:r>
        <w:t>关键词</w:t>
      </w:r>
    </w:p>
    <w:p>
      <w:r>
        <w:rPr>
          <w:rFonts w:ascii="等线(中文正文)" w:hAnsi="等线(中文正文)" w:cs="等线(中文正文)" w:eastAsia="等线(中文正文)"/>
          <w:b w:val="false"/>
          <w:i w:val="false"/>
          <w:sz w:val="20"/>
        </w:rPr>
        <w:t xml:space="preserve">华勤技术 投资者 业绩说明会 营业收入 归母净利润 研发投入 毛利率 经营性现金流 移动终端 AIoT 个人电脑 数据中心 创新业务 汽车电子 机器人 软件服务 A股上市 港股上市 华清 ROE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华勤技术举行了一场专为受邀投资者设计的业绩说明会，强调会议内容仅限参会者内部使用，严禁公开发布。会议由公司领导介绍业绩及业务进展，包括显著增长的营业收入、净利润、毛利率等关键指标，以及各业务板块的具体表现。面对市场风险，公司提醒投资者谨慎决策。在提问环节，领导们详细解答了投资者关于业绩展望、毛利率变化趋势、研发投入、供应链挑战、国产芯片替代、HBM紧缺影响等问题，展现了公司在面对挑战中通过持续研发、技术领先和供应链优化，以及与客户紧密合作，保持业务稳健增长的决心与策略。此次会议彰显了公司对未来发展、技术创新和投资者关系管理的重视，强调了在不断变化的市场环境中，通过核心竞争力的强化和适应性调整，以实现可持续增长和价值创造。</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华勤技术2026年中报业绩说明会概览</w:t>
      </w:r>
    </w:p>
    <w:p>
      <w:r>
        <w:rPr>
          <w:rFonts w:ascii="等线(中文正文)" w:hAnsi="等线(中文正文)" w:cs="等线(中文正文)" w:eastAsia="等线(中文正文)"/>
          <w:b w:val="false"/>
          <w:i w:val="false"/>
          <w:sz w:val="20"/>
        </w:rPr>
        <w:t>华勤技术召开2026年中报业绩说明会，强调会议内容仅供内部参考，禁止未经授权的传播。公司上半年实现营收937亿，同比增长11.7%，归母净利润30亿，同比增长58.8%。毛利率提升至8.1%，研发费用达35.6亿，同比增长20%。总资产达1367亿，同比增长42%，净资产收益率为10.5%，年化LE达21%。公司通过3加M加三智能产品大平台，各业务线均实现持续增长。</w:t>
      </w:r>
    </w:p>
    <w:p>
      <w:r>
        <w:rPr>
          <w:rFonts w:ascii="等线(中文正文)" w:hAnsi="等线(中文正文)" w:cs="等线(中文正文)" w:eastAsia="等线(中文正文)"/>
          <w:b w:val="false"/>
          <w:i w:val="false"/>
          <w:sz w:val="20"/>
        </w:rPr>
        <w:t/>
      </w:r>
    </w:p>
    <w:p>
      <w:pPr>
        <w:pStyle w:val="ab"/>
        <w:numPr>
          <w:numId w:val="2"/>
        </w:numPr>
      </w:pPr>
      <w:r>
        <w:t>04:25 公司上半年经营情况与未来规划分享</w:t>
      </w:r>
    </w:p>
    <w:p>
      <w:r>
        <w:rPr>
          <w:rFonts w:ascii="等线(中文正文)" w:hAnsi="等线(中文正文)" w:cs="等线(中文正文)" w:eastAsia="等线(中文正文)"/>
          <w:b w:val="false"/>
          <w:i w:val="false"/>
          <w:sz w:val="20"/>
        </w:rPr>
        <w:t>分享了公司上半年在移动终端、AIoT、个人电脑、数据中心及创新业务五大领域的经营成果，包括营收增长、市场地位提升及技术布局，强调了面对行业压力下的稳健增长策略和未来发展方向，同时回顾了公司上市三年的成就与资本市场的发展规划。</w:t>
      </w:r>
    </w:p>
    <w:p>
      <w:r>
        <w:rPr>
          <w:rFonts w:ascii="等线(中文正文)" w:hAnsi="等线(中文正文)" w:cs="等线(中文正文)" w:eastAsia="等线(中文正文)"/>
          <w:b w:val="false"/>
          <w:i w:val="false"/>
          <w:sz w:val="20"/>
        </w:rPr>
        <w:t/>
      </w:r>
    </w:p>
    <w:p>
      <w:pPr>
        <w:pStyle w:val="ab"/>
        <w:numPr>
          <w:numId w:val="3"/>
        </w:numPr>
      </w:pPr>
      <w:r>
        <w:t>12:40 公司业绩展望与未来规划</w:t>
      </w:r>
    </w:p>
    <w:p>
      <w:r>
        <w:rPr>
          <w:rFonts w:ascii="等线(中文正文)" w:hAnsi="等线(中文正文)" w:cs="等线(中文正文)" w:eastAsia="等线(中文正文)"/>
          <w:b w:val="false"/>
          <w:i w:val="false"/>
          <w:sz w:val="20"/>
        </w:rPr>
        <w:t>对话围绕公司上半年业绩及未来规划展开，强调了多元化产品结构带来的增长，具体分析了移动终端、AIoT、PC和数据业务的前景，预测全年收入超2000亿，扣费利润增长20%，并展望2027年更高速的增长。</w:t>
      </w:r>
    </w:p>
    <w:p>
      <w:r>
        <w:rPr>
          <w:rFonts w:ascii="等线(中文正文)" w:hAnsi="等线(中文正文)" w:cs="等线(中文正文)" w:eastAsia="等线(中文正文)"/>
          <w:b w:val="false"/>
          <w:i w:val="false"/>
          <w:sz w:val="20"/>
        </w:rPr>
        <w:t/>
      </w:r>
    </w:p>
    <w:p>
      <w:pPr>
        <w:pStyle w:val="ab"/>
        <w:numPr>
          <w:numId w:val="4"/>
        </w:numPr>
      </w:pPr>
      <w:r>
        <w:t>17:04 华清业绩增长与毛利率变化分析</w:t>
      </w:r>
    </w:p>
    <w:p>
      <w:r>
        <w:rPr>
          <w:rFonts w:ascii="等线(中文正文)" w:hAnsi="等线(中文正文)" w:cs="等线(中文正文)" w:eastAsia="等线(中文正文)"/>
          <w:b w:val="false"/>
          <w:i w:val="false"/>
          <w:sz w:val="20"/>
        </w:rPr>
        <w:t>华清在上半年扣费利润增长11%，预计2026年全年口碑增长20%，2027年增速更高。公司投入研发，超节点业务表现领先，实现批量交付。毛利率受by sale模式影响，剔除后真实毛利率约15%，净利率约5%。未来规模增长将降低费用率，净利率有望从当前的两点几个点提升至三点几个点。华清ROE表现优异，维持在15%-20%之间。</w:t>
      </w:r>
    </w:p>
    <w:p>
      <w:r>
        <w:rPr>
          <w:rFonts w:ascii="等线(中文正文)" w:hAnsi="等线(中文正文)" w:cs="等线(中文正文)" w:eastAsia="等线(中文正文)"/>
          <w:b w:val="false"/>
          <w:i w:val="false"/>
          <w:sz w:val="20"/>
        </w:rPr>
        <w:t/>
      </w:r>
    </w:p>
    <w:p>
      <w:pPr>
        <w:pStyle w:val="ab"/>
        <w:numPr>
          <w:numId w:val="5"/>
        </w:numPr>
      </w:pPr>
      <w:r>
        <w:t>22:52 华晨集团业务指标与工业互联对比分析</w:t>
      </w:r>
    </w:p>
    <w:p>
      <w:r>
        <w:rPr>
          <w:rFonts w:ascii="等线(中文正文)" w:hAnsi="等线(中文正文)" w:cs="等线(中文正文)" w:eastAsia="等线(中文正文)"/>
          <w:b w:val="false"/>
          <w:i w:val="false"/>
          <w:sz w:val="20"/>
        </w:rPr>
        <w:t>对话讨论了华晨集团不同业务的ROI表现，指出超节点与交换机业务RY表现优秀，AI服务器次之，手机业务虽竞争激烈但仍盈利。毛利率方面，超节点因高额销售额导致毛利率较低，而交换机毛利率较高。提及友商工业互联市值超万亿，激励华晨集团向其学习，提升自身业绩。</w:t>
      </w:r>
    </w:p>
    <w:p>
      <w:r>
        <w:rPr>
          <w:rFonts w:ascii="等线(中文正文)" w:hAnsi="等线(中文正文)" w:cs="等线(中文正文)" w:eastAsia="等线(中文正文)"/>
          <w:b w:val="false"/>
          <w:i w:val="false"/>
          <w:sz w:val="20"/>
        </w:rPr>
        <w:t/>
      </w:r>
    </w:p>
    <w:p>
      <w:pPr>
        <w:pStyle w:val="ab"/>
        <w:numPr>
          <w:numId w:val="6"/>
        </w:numPr>
      </w:pPr>
      <w:r>
        <w:t>24:49 平台型公司投资策略与协同效应</w:t>
      </w:r>
    </w:p>
    <w:p>
      <w:r>
        <w:rPr>
          <w:rFonts w:ascii="等线(中文正文)" w:hAnsi="等线(中文正文)" w:cs="等线(中文正文)" w:eastAsia="等线(中文正文)"/>
          <w:b w:val="false"/>
          <w:i w:val="false"/>
          <w:sz w:val="20"/>
        </w:rPr>
        <w:t>对话探讨了平台型公司在投资方面的优势，强调通过广泛的人脉和业务协同创造投资机会。提及通过产业投资实现可持续收益，每年投资收益稳定，今年突破十亿。此外，讨论了与合作伙伴在零部件供应和产能调配上的协同效应，实现资源优化配置。</w:t>
      </w:r>
    </w:p>
    <w:p>
      <w:r>
        <w:rPr>
          <w:rFonts w:ascii="等线(中文正文)" w:hAnsi="等线(中文正文)" w:cs="等线(中文正文)" w:eastAsia="等线(中文正文)"/>
          <w:b w:val="false"/>
          <w:i w:val="false"/>
          <w:sz w:val="20"/>
        </w:rPr>
        <w:t/>
      </w:r>
    </w:p>
    <w:p>
      <w:pPr>
        <w:pStyle w:val="ab"/>
        <w:numPr>
          <w:numId w:val="7"/>
        </w:numPr>
      </w:pPr>
      <w:r>
        <w:t>28:29 华擎未来三年研发投入规划及重点方向</w:t>
      </w:r>
    </w:p>
    <w:p>
      <w:r>
        <w:rPr>
          <w:rFonts w:ascii="等线(中文正文)" w:hAnsi="等线(中文正文)" w:cs="等线(中文正文)" w:eastAsia="等线(中文正文)"/>
          <w:b w:val="false"/>
          <w:i w:val="false"/>
          <w:sz w:val="20"/>
        </w:rPr>
        <w:t>华擎计划未来三年研发投入累计约161亿，保持10%以上复合增速，重点布局数据中心、智能终端计算业务、AIPC及新兴领域如汽车电子和AI装车应用，同时优化研发效率，确保收入增速高于研发投入增速，提升经济空间。</w:t>
      </w:r>
    </w:p>
    <w:p>
      <w:r>
        <w:rPr>
          <w:rFonts w:ascii="等线(中文正文)" w:hAnsi="等线(中文正文)" w:cs="等线(中文正文)" w:eastAsia="等线(中文正文)"/>
          <w:b w:val="false"/>
          <w:i w:val="false"/>
          <w:sz w:val="20"/>
        </w:rPr>
        <w:t/>
      </w:r>
    </w:p>
    <w:p>
      <w:pPr>
        <w:pStyle w:val="ab"/>
        <w:numPr>
          <w:numId w:val="8"/>
        </w:numPr>
      </w:pPr>
      <w:r>
        <w:t>32:05 数据中心业务增长与资本开支展望</w:t>
      </w:r>
    </w:p>
    <w:p>
      <w:r>
        <w:rPr>
          <w:rFonts w:ascii="等线(中文正文)" w:hAnsi="等线(中文正文)" w:cs="等线(中文正文)" w:eastAsia="等线(中文正文)"/>
          <w:b w:val="false"/>
          <w:i w:val="false"/>
          <w:sz w:val="20"/>
        </w:rPr>
        <w:t>对话围绕公司数据中心业务的未来增长潜力及资本开支计划展开。提到超节点产品二季度开始交货，下半年有望批量生产，行业资本开支提升显著。公司预计未来三年每年资本开支约30亿，与收入增长和订单能见度保持匹配，同时强调提升资产投入效率。对于数据中心业务，管理层未给出具体全年增速预测，但表示将分享更多客户份额及产品结构信息。</w:t>
      </w:r>
    </w:p>
    <w:p>
      <w:r>
        <w:rPr>
          <w:rFonts w:ascii="等线(中文正文)" w:hAnsi="等线(中文正文)" w:cs="等线(中文正文)" w:eastAsia="等线(中文正文)"/>
          <w:b w:val="false"/>
          <w:i w:val="false"/>
          <w:sz w:val="20"/>
        </w:rPr>
        <w:t/>
      </w:r>
    </w:p>
    <w:p>
      <w:pPr>
        <w:pStyle w:val="ab"/>
        <w:numPr>
          <w:numId w:val="9"/>
        </w:numPr>
      </w:pPr>
      <w:r>
        <w:t>34:19 公司数据业务增长策略与未来目标</w:t>
      </w:r>
    </w:p>
    <w:p>
      <w:r>
        <w:rPr>
          <w:rFonts w:ascii="等线(中文正文)" w:hAnsi="等线(中文正文)" w:cs="等线(中文正文)" w:eastAsia="等线(中文正文)"/>
          <w:b w:val="false"/>
          <w:i w:val="false"/>
          <w:sz w:val="20"/>
        </w:rPr>
        <w:t>对话主要围绕公司数据业务的增长情况与未来规划展开，强调了今年三季度开始数据业务进入高速增长阶段，预计全年营收增长超过50%。公司致力于优化业务和产品结构，设定了明确的营收目标，包括CSP客户、超节点和网络市场的营收翻倍，以及行业市场营收目标。展望2027年，公司计划继续保持高速营收增长，特别是在CSP客户中争取市场份额领先，并在超节点和网络市场实现营收倍增，同时在行业市场保持营收规模的三倍增长。</w:t>
      </w:r>
    </w:p>
    <w:p>
      <w:r>
        <w:rPr>
          <w:rFonts w:ascii="等线(中文正文)" w:hAnsi="等线(中文正文)" w:cs="等线(中文正文)" w:eastAsia="等线(中文正文)"/>
          <w:b w:val="false"/>
          <w:i w:val="false"/>
          <w:sz w:val="20"/>
        </w:rPr>
        <w:t/>
      </w:r>
    </w:p>
    <w:p>
      <w:pPr>
        <w:pStyle w:val="ab"/>
        <w:numPr>
          <w:numId w:val="10"/>
        </w:numPr>
      </w:pPr>
      <w:r>
        <w:t>39:09 超节点市场竞争与利润率探讨</w:t>
      </w:r>
    </w:p>
    <w:p>
      <w:r>
        <w:rPr>
          <w:rFonts w:ascii="等线(中文正文)" w:hAnsi="等线(中文正文)" w:cs="等线(中文正文)" w:eastAsia="等线(中文正文)"/>
          <w:b w:val="false"/>
          <w:i w:val="false"/>
          <w:sz w:val="20"/>
        </w:rPr>
        <w:t>对话围绕超节点产品的利润率和市场竞争格局展开。发言者提到，超节点自去年以来利润率显著提升，华创证券在二季度实现大规模交付，预计未来超节点将占数据中心部署的78%以上。尽管联想、中兴等企业已切入该领域，但因技术门槛高，竞争尚处于初期，华创证券凭借全栈优势和研发领先，毛利率和净利率优于同行。未来，系统架构迭代和场景差异化需求将影响竞争格局。</w:t>
      </w:r>
    </w:p>
    <w:p>
      <w:r>
        <w:rPr>
          <w:rFonts w:ascii="等线(中文正文)" w:hAnsi="等线(中文正文)" w:cs="等线(中文正文)" w:eastAsia="等线(中文正文)"/>
          <w:b w:val="false"/>
          <w:i w:val="false"/>
          <w:sz w:val="20"/>
        </w:rPr>
        <w:t/>
      </w:r>
    </w:p>
    <w:p>
      <w:pPr>
        <w:pStyle w:val="ab"/>
        <w:numPr>
          <w:numId w:val="11"/>
        </w:numPr>
      </w:pPr>
      <w:r>
        <w:t>43:14 超节点网络互联技术优势与产能规模领先</w:t>
      </w:r>
    </w:p>
    <w:p>
      <w:r>
        <w:rPr>
          <w:rFonts w:ascii="等线(中文正文)" w:hAnsi="等线(中文正文)" w:cs="等线(中文正文)" w:eastAsia="等线(中文正文)"/>
          <w:b w:val="false"/>
          <w:i w:val="false"/>
          <w:sz w:val="20"/>
        </w:rPr>
        <w:t>对话讨论了超节点网络互联的重要性，强调了全站能力、技术领先性及制造产能规模的优势。提及了英伟达GB200/GB300与基于非升腾架构的超节点对比，以及算力中心交换节点行业的技术优势。公司研发投入超过50%，支撑量产、研发与预研的策略，目标是保持领先优势，扩大市场份额。</w:t>
      </w:r>
    </w:p>
    <w:p>
      <w:r>
        <w:rPr>
          <w:rFonts w:ascii="等线(中文正文)" w:hAnsi="等线(中文正文)" w:cs="等线(中文正文)" w:eastAsia="等线(中文正文)"/>
          <w:b w:val="false"/>
          <w:i w:val="false"/>
          <w:sz w:val="20"/>
        </w:rPr>
        <w:t/>
      </w:r>
    </w:p>
    <w:p>
      <w:pPr>
        <w:pStyle w:val="ab"/>
        <w:numPr>
          <w:numId w:val="12"/>
        </w:numPr>
      </w:pPr>
      <w:r>
        <w:t>47:58 交换机业务增长与芯片供应链挑战</w:t>
      </w:r>
    </w:p>
    <w:p>
      <w:r>
        <w:rPr>
          <w:rFonts w:ascii="等线(中文正文)" w:hAnsi="等线(中文正文)" w:cs="等线(中文正文)" w:eastAsia="等线(中文正文)"/>
          <w:b w:val="false"/>
          <w:i w:val="false"/>
          <w:sz w:val="20"/>
        </w:rPr>
        <w:t>提问者关注公司交换机业务的快速增长背景下，海外交换芯片交期延长是否影响数据中心业务交付节奏。同时，询问未来引入国产芯片卡的可能及进展，以及光交换芯片产品的布局情况。管理层需考虑供应链调整与国产化替代策略，以应对当前挑战并探索未来技术发展方向。</w:t>
      </w:r>
    </w:p>
    <w:p>
      <w:r>
        <w:rPr>
          <w:rFonts w:ascii="等线(中文正文)" w:hAnsi="等线(中文正文)" w:cs="等线(中文正文)" w:eastAsia="等线(中文正文)"/>
          <w:b w:val="false"/>
          <w:i w:val="false"/>
          <w:sz w:val="20"/>
        </w:rPr>
        <w:t/>
      </w:r>
    </w:p>
    <w:p>
      <w:pPr>
        <w:pStyle w:val="ab"/>
        <w:numPr>
          <w:numId w:val="13"/>
        </w:numPr>
      </w:pPr>
      <w:r>
        <w:t>48:32 网络业务增长与芯片供应挑战</w:t>
      </w:r>
    </w:p>
    <w:p>
      <w:r>
        <w:rPr>
          <w:rFonts w:ascii="等线(中文正文)" w:hAnsi="等线(中文正文)" w:cs="等线(中文正文)" w:eastAsia="等线(中文正文)"/>
          <w:b w:val="false"/>
          <w:i w:val="false"/>
          <w:sz w:val="20"/>
        </w:rPr>
        <w:t>对话围绕网络业务增长及芯片供应紧张展开，指出已与供应商建立紧密合作机制，确保业务需求。数据中心交换机主要依赖海外芯片，正同步推进国产芯片适配。光互联技术被视为长期趋势，重点研发NPO互联技术，已有基于NPO的超节点验证机，将快速推出相关产品。为应对供应紧张，有意备足库存，包括内存和交换机芯片。</w:t>
      </w:r>
    </w:p>
    <w:p>
      <w:r>
        <w:rPr>
          <w:rFonts w:ascii="等线(中文正文)" w:hAnsi="等线(中文正文)" w:cs="等线(中文正文)" w:eastAsia="等线(中文正文)"/>
          <w:b w:val="false"/>
          <w:i w:val="false"/>
          <w:sz w:val="20"/>
        </w:rPr>
        <w:t/>
      </w:r>
    </w:p>
    <w:p>
      <w:pPr>
        <w:pStyle w:val="ab"/>
        <w:numPr>
          <w:numId w:val="14"/>
        </w:numPr>
      </w:pPr>
      <w:r>
        <w:t>52:10 国产芯片供应与HBM紧缺对服务器出货的影响</w:t>
      </w:r>
    </w:p>
    <w:p>
      <w:r>
        <w:rPr>
          <w:rFonts w:ascii="等线(中文正文)" w:hAnsi="等线(中文正文)" w:cs="等线(中文正文)" w:eastAsia="等线(中文正文)"/>
          <w:b w:val="false"/>
          <w:i w:val="false"/>
          <w:sz w:val="20"/>
        </w:rPr>
        <w:t>投资者询问国产芯片服务器出货是否受供应端影响及HBM紧缺对超节点服务器出货的影响。公司表示虽面临供应挑战，但国产芯片产业链充足度提升，供应数量增速快。AI产品场景从训练转向推理，多样化方案增多，对业务影响可控。大型数据中心客户优先使用国产GPU，公司利用优势完成适配，供应能力支撑超大规模增长。</w:t>
      </w:r>
    </w:p>
    <w:p>
      <w:r>
        <w:rPr>
          <w:rFonts w:ascii="等线(中文正文)" w:hAnsi="等线(中文正文)" w:cs="等线(中文正文)" w:eastAsia="等线(中文正文)"/>
          <w:b w:val="false"/>
          <w:i w:val="false"/>
          <w:sz w:val="20"/>
        </w:rPr>
        <w:t/>
      </w:r>
    </w:p>
    <w:p>
      <w:pPr>
        <w:pStyle w:val="a7"/>
      </w:pPr>
      <w:r>
        <w:t>发言总结</w:t>
      </w:r>
    </w:p>
    <w:p>
      <w:pPr>
        <w:pStyle w:val="ab"/>
        <w:numPr>
          <w:numId w:val="15"/>
        </w:numPr>
      </w:pPr>
      <w:r>
        <w:t>发言人1</w:t>
      </w:r>
    </w:p>
    <w:p>
      <w:r>
        <w:rPr>
          <w:rFonts w:ascii="等线(中文正文)" w:hAnsi="等线(中文正文)" w:cs="等线(中文正文)" w:eastAsia="等线(中文正文)"/>
          <w:b w:val="false"/>
          <w:i w:val="false"/>
          <w:sz w:val="20"/>
        </w:rPr>
        <w:t>他在本次会议中首先强调了会议内容的保密性，明确所有音频及文字记录仅限参会者内部使用，严禁公开发布或未经允许的转载、转发，并提醒投资者注意市场风险，谨慎决策。随后，他介绍了出席的公司领导，包括董事长、总经理邱文生等核心高管，并预告会议将留有提问时间。他代表华勤技术董事会和公司管理层，欢迎投资者参加2026年中报业绩说明会，感谢大家的支持并强调公司与市场建立的坦诚透明沟通渠道。他汇报了公司2026年上半年的财务指标、业务进展，包括营业收入、净利润增长、毛利率提升、研发投入以及资产和净资产增长等关键数据，显示了公司业务的稳健增长和盈利能力的提升。此外，他还详细介绍了公司在移动终端、AIoT、个人电脑、数据中心和创新业务板块的经营情况及未来规划。最后，他鼓励投资者持续关注公司动态，并期待与投资者的互动交流。</w:t>
      </w:r>
    </w:p>
    <w:p>
      <w:r>
        <w:rPr>
          <w:rFonts w:ascii="等线(中文正文)" w:hAnsi="等线(中文正文)" w:cs="等线(中文正文)" w:eastAsia="等线(中文正文)"/>
          <w:b w:val="false"/>
          <w:i w:val="false"/>
          <w:sz w:val="20"/>
        </w:rPr>
        <w:t/>
      </w:r>
    </w:p>
    <w:p>
      <w:pPr>
        <w:pStyle w:val="a7"/>
      </w:pPr>
      <w:r>
        <w:t>要点回顾</w:t>
      </w:r>
    </w:p>
    <w:p>
      <w:pPr>
        <w:pStyle w:val="ab"/>
      </w:pPr>
      <w:r>
        <w:t>本次会议的内容是否可以公开发布或对外转发？华勤技术2026年上半年的财务指标表现如何？</w:t>
      </w:r>
    </w:p>
    <w:p>
      <w:r>
        <w:rPr>
          <w:rFonts w:ascii="等线(中文正文)" w:hAnsi="等线(中文正文)" w:cs="等线(中文正文)" w:eastAsia="等线(中文正文)"/>
          <w:b w:val="false"/>
          <w:i w:val="false"/>
          <w:sz w:val="20"/>
        </w:rPr>
        <w:t>发言人1：本次会议的内容仅供参会机构内部参考使用，未经公司书面许可，请勿以任何形式对外转发或者在社交媒体公开平台发布。华勤技术2026年上半年实现营业收入937亿，同比增长11.7%；实现归母净利润30亿，同比增长58.8%；扣非归母净利润16.8亿，同比增长11%。整体毛利率为8.1%，毛利额达到76.2亿人民币，同比增长18.4%。公司持续稳健的研发投入，上半年研发费用达到35.6亿，同比增长20%。</w:t>
      </w:r>
    </w:p>
    <w:p>
      <w:r>
        <w:rPr>
          <w:rFonts w:ascii="等线(中文正文)" w:hAnsi="等线(中文正文)" w:cs="等线(中文正文)" w:eastAsia="等线(中文正文)"/>
          <w:b w:val="false"/>
          <w:i w:val="false"/>
          <w:sz w:val="20"/>
        </w:rPr>
        <w:t/>
      </w:r>
    </w:p>
    <w:p>
      <w:pPr>
        <w:pStyle w:val="ab"/>
      </w:pPr>
      <w:r>
        <w:t>华勤技术在各业务板块上的经营情况如何？</w:t>
      </w:r>
    </w:p>
    <w:p>
      <w:r>
        <w:rPr>
          <w:rFonts w:ascii="等线(中文正文)" w:hAnsi="等线(中文正文)" w:cs="等线(中文正文)" w:eastAsia="等线(中文正文)"/>
          <w:b w:val="false"/>
          <w:i w:val="false"/>
          <w:sz w:val="20"/>
        </w:rPr>
        <w:t>发言人1：移动终端业务上半年实现营业收入411亿，同比增长17%，在手机、平板和智能穿戴三大核心品类均有稳健增长；AIoT业务上半年营业收入60亿，同比增长85%，产品种类加速上新并拓展海内外品牌大客户；个人电脑业务上半年发货量持续提升，收入实现高速增长，公司构建了全品类产品矩阵并在AI赋能PC产业中率先布局；数据中心业务上半年在国产算力平台研发及量产工作中取得突破，各季度均实现增长，尤其超节点产品成功量产交付；创新业务上半年营收25亿，同比翻番增长，其中汽车电子业务收入增长三倍，机器人业务商业化进程加速。</w:t>
      </w:r>
    </w:p>
    <w:p>
      <w:r>
        <w:rPr>
          <w:rFonts w:ascii="等线(中文正文)" w:hAnsi="等线(中文正文)" w:cs="等线(中文正文)" w:eastAsia="等线(中文正文)"/>
          <w:b w:val="false"/>
          <w:i w:val="false"/>
          <w:sz w:val="20"/>
        </w:rPr>
        <w:t/>
      </w:r>
    </w:p>
    <w:p>
      <w:pPr>
        <w:pStyle w:val="ab"/>
      </w:pPr>
      <w:r>
        <w:t>华勤技术如何在面对消费电子行业压力时保持稳健发展？</w:t>
      </w:r>
    </w:p>
    <w:p>
      <w:r>
        <w:rPr>
          <w:rFonts w:ascii="等线(中文正文)" w:hAnsi="等线(中文正文)" w:cs="等线(中文正文)" w:eastAsia="等线(中文正文)"/>
          <w:b w:val="false"/>
          <w:i w:val="false"/>
          <w:sz w:val="20"/>
        </w:rPr>
        <w:t>发言人1：尽管消费电子行业面临一定压力，华勤凭借自身多元产品组合和强大的客户基础，在提升市场份额和夯实行业领先地位方面实现了稳健的收入利润增长。通过利用平台化优势、产品技术创新以及AI赋能，公司在手机、平板、智能穿戴等多个领域取得显著成效，并在笔电和数据中心业务上保持领先地位，创新业务也实现了高速增长，进一步拓宽了公司的第二增长曲线。</w:t>
      </w:r>
    </w:p>
    <w:p>
      <w:r>
        <w:rPr>
          <w:rFonts w:ascii="等线(中文正文)" w:hAnsi="等线(中文正文)" w:cs="等线(中文正文)" w:eastAsia="等线(中文正文)"/>
          <w:b w:val="false"/>
          <w:i w:val="false"/>
          <w:sz w:val="20"/>
        </w:rPr>
        <w:t/>
      </w:r>
    </w:p>
    <w:p>
      <w:pPr>
        <w:pStyle w:val="ab"/>
      </w:pPr>
      <w:r>
        <w:t>华庭的玉涛提到华清的整个扣费利润在今年上半年只增长了11%，但对未来几年的增长预期较高。能否解释一下这个现象以及背后的逻辑？</w:t>
      </w:r>
    </w:p>
    <w:p>
      <w:r>
        <w:rPr>
          <w:rFonts w:ascii="等线(中文正文)" w:hAnsi="等线(中文正文)" w:cs="等线(中文正文)" w:eastAsia="等线(中文正文)"/>
          <w:b w:val="false"/>
          <w:i w:val="false"/>
          <w:sz w:val="20"/>
        </w:rPr>
        <w:t>发言人1：我特别认同玉涛的观点，即华清的扣费利润今年全年将增长约20%，并且2027年的增长会比今年更高。这个看法基于过去四个季度中美贸易战和美国对英伟达N卡限制导致的算力业务低迷。但华庭的双人业务团队非常努力，通过大力度投入研发，今年算力业务的研发投入增长超过50%，预计明年也会保持这一趋势。华清在超节点业务方面处于领先地位，二季度已实现小批量交付，三季度正在进行批量交付，四季度会有更大规模交付，明年交付规模会更大。这些努力使得华清今年全年扣费利润增长20%，并有望在未来几年实现更高增速。</w:t>
      </w:r>
    </w:p>
    <w:p>
      <w:r>
        <w:rPr>
          <w:rFonts w:ascii="等线(中文正文)" w:hAnsi="等线(中文正文)" w:cs="等线(中文正文)" w:eastAsia="等线(中文正文)"/>
          <w:b w:val="false"/>
          <w:i w:val="false"/>
          <w:sz w:val="20"/>
        </w:rPr>
        <w:t/>
      </w:r>
    </w:p>
    <w:p>
      <w:pPr>
        <w:pStyle w:val="ab"/>
      </w:pPr>
      <w:r>
        <w:t>我们今年的整体毛利率情况是怎样的？未来会如何变化？如果去掉by sale模式的影响，华晨的实际毛利率和净利率会是多少？</w:t>
      </w:r>
    </w:p>
    <w:p>
      <w:r>
        <w:rPr>
          <w:rFonts w:ascii="等线(中文正文)" w:hAnsi="等线(中文正文)" w:cs="等线(中文正文)" w:eastAsia="等线(中文正文)"/>
          <w:b w:val="false"/>
          <w:i w:val="false"/>
          <w:sz w:val="20"/>
        </w:rPr>
        <w:t>发言人1：今年上半年我们的毛利率为8.1%，预计全年会维持在8%左右。这个行业的毛利率受到一种商业模式——by sale的影响。如果剔除这一因素，华晨的真实毛利率大约在15%左右，净利率约为5%，在业内算是不错的水平。去掉by sale模式的影响后，华晨的真实毛利率应该在15%左右，净利率大约在5%左右。</w:t>
      </w:r>
    </w:p>
    <w:p>
      <w:r>
        <w:rPr>
          <w:rFonts w:ascii="等线(中文正文)" w:hAnsi="等线(中文正文)" w:cs="等线(中文正文)" w:eastAsia="等线(中文正文)"/>
          <w:b w:val="false"/>
          <w:i w:val="false"/>
          <w:sz w:val="20"/>
        </w:rPr>
        <w:t/>
      </w:r>
    </w:p>
    <w:p>
      <w:pPr>
        <w:pStyle w:val="ab"/>
      </w:pPr>
      <w:r>
        <w:t>贵公司更看重哪些财务指标？华晨的ROE表现如何？</w:t>
      </w:r>
    </w:p>
    <w:p>
      <w:r>
        <w:rPr>
          <w:rFonts w:ascii="等线(中文正文)" w:hAnsi="等线(中文正文)" w:cs="等线(中文正文)" w:eastAsia="等线(中文正文)"/>
          <w:b w:val="false"/>
          <w:i w:val="false"/>
          <w:sz w:val="20"/>
        </w:rPr>
        <w:t>发言人1：在我们这个行业，大家更看重的是ROI和ROE等指标。华晨的ROE表现优秀且持续稳定，比如在A股五千多家公司中，市值超千亿且五年平均ROE超过15%的公司，华晨应该能排进前30名。如果缩小范围到电子行业，华晨的表现应该能排在前五名。我们致力于保持华晨未来的ROE在15%到20%之间，并且随着规模增长，费用率会下降，预计华晨的净利率会从现在的几点上升到三点几个点。</w:t>
      </w:r>
    </w:p>
    <w:p>
      <w:r>
        <w:rPr>
          <w:rFonts w:ascii="等线(中文正文)" w:hAnsi="等线(中文正文)" w:cs="等线(中文正文)" w:eastAsia="等线(中文正文)"/>
          <w:b w:val="false"/>
          <w:i w:val="false"/>
          <w:sz w:val="20"/>
        </w:rPr>
        <w:t/>
      </w:r>
    </w:p>
    <w:p>
      <w:pPr>
        <w:pStyle w:val="ab"/>
      </w:pPr>
      <w:r>
        <w:t>华晨内部重视的一个指标——ROI是如何分配的？</w:t>
      </w:r>
    </w:p>
    <w:p>
      <w:r>
        <w:rPr>
          <w:rFonts w:ascii="等线(中文正文)" w:hAnsi="等线(中文正文)" w:cs="等线(中文正文)" w:eastAsia="等线(中文正文)"/>
          <w:b w:val="false"/>
          <w:i w:val="false"/>
          <w:sz w:val="20"/>
        </w:rPr>
        <w:t>发言人1：华晨内部对于ROI的分配较为均衡，例如超节点和交换机业务的ROI表现较好，而AI服务器则相对较低，手机业务虽较为卷但仍有盈利。虽然不同产品毛利率和销售额有所不同，但整体上它们的ROI是相当的。</w:t>
      </w:r>
    </w:p>
    <w:p>
      <w:r>
        <w:rPr>
          <w:rFonts w:ascii="等线(中文正文)" w:hAnsi="等线(中文正文)" w:cs="等线(中文正文)" w:eastAsia="等线(中文正文)"/>
          <w:b w:val="false"/>
          <w:i w:val="false"/>
          <w:sz w:val="20"/>
        </w:rPr>
        <w:t/>
      </w:r>
    </w:p>
    <w:p>
      <w:pPr>
        <w:pStyle w:val="ab"/>
      </w:pPr>
      <w:r>
        <w:t>公司在投资方面有哪些成功之处和秘诀？</w:t>
      </w:r>
    </w:p>
    <w:p>
      <w:r>
        <w:rPr>
          <w:rFonts w:ascii="等线(中文正文)" w:hAnsi="等线(中文正文)" w:cs="等线(中文正文)" w:eastAsia="等线(中文正文)"/>
          <w:b w:val="false"/>
          <w:i w:val="false"/>
          <w:sz w:val="20"/>
        </w:rPr>
        <w:t>发言人1：华平在投资方面并没有什么秘诀，主要是因为我们充分利用了平台型公司的优势，拥有众多的朋友和合作伙伴（如赵毅、长兴等），带来了更多的投资机会。此外，华清的产业投资具备可持续性，而非简单的买卖行为。我们的投资收益每年都有稳定增长，今年甚至超过了十个亿，这主要得益于平台型公司带来的红利变现以及产业投资的可持续发展。</w:t>
      </w:r>
    </w:p>
    <w:p>
      <w:r>
        <w:rPr>
          <w:rFonts w:ascii="等线(中文正文)" w:hAnsi="等线(中文正文)" w:cs="等线(中文正文)" w:eastAsia="等线(中文正文)"/>
          <w:b w:val="false"/>
          <w:i w:val="false"/>
          <w:sz w:val="20"/>
        </w:rPr>
        <w:t/>
      </w:r>
    </w:p>
    <w:p>
      <w:pPr>
        <w:pStyle w:val="ab"/>
      </w:pPr>
      <w:r>
        <w:t>对于金河集成的投资策略，有何独特之处？</w:t>
      </w:r>
    </w:p>
    <w:p>
      <w:r>
        <w:rPr>
          <w:rFonts w:ascii="等线(中文正文)" w:hAnsi="等线(中文正文)" w:cs="等线(中文正文)" w:eastAsia="等线(中文正文)"/>
          <w:b w:val="false"/>
          <w:i w:val="false"/>
          <w:sz w:val="20"/>
        </w:rPr>
        <w:t>发言人1：金河集成非常看重双方业务的高度协同。比如在华清缺某些零部件时，可以通过与金河的协同来获取更多产能，或者当金河有闲置产能时，华清也可以通过游说供应商给金河增加订单。这种高度协同使得双方都能取得良好的效果。</w:t>
      </w:r>
    </w:p>
    <w:p>
      <w:r>
        <w:rPr>
          <w:rFonts w:ascii="等线(中文正文)" w:hAnsi="等线(中文正文)" w:cs="等线(中文正文)" w:eastAsia="等线(中文正文)"/>
          <w:b w:val="false"/>
          <w:i w:val="false"/>
          <w:sz w:val="20"/>
        </w:rPr>
        <w:t/>
      </w:r>
    </w:p>
    <w:p>
      <w:pPr>
        <w:pStyle w:val="ab"/>
      </w:pPr>
      <w:r>
        <w:t>未来三年我们对整体研发支出有何规划？重点投入方向是什么？同时，为支持业务发展，我们在产能端会有怎样的资本开支计划？</w:t>
      </w:r>
    </w:p>
    <w:p>
      <w:r>
        <w:rPr>
          <w:rFonts w:ascii="等线(中文正文)" w:hAnsi="等线(中文正文)" w:cs="等线(中文正文)" w:eastAsia="等线(中文正文)"/>
          <w:b w:val="false"/>
          <w:i w:val="false"/>
          <w:sz w:val="20"/>
        </w:rPr>
        <w:t>发言人1：关于未来三年的研发支出计划及重点投入方向，我们需要进一步讨论并确定。对于产能端的资本开支支持，我们会根据研发业务的发展需求来合理安排。</w:t>
      </w:r>
    </w:p>
    <w:p>
      <w:r>
        <w:rPr>
          <w:rFonts w:ascii="等线(中文正文)" w:hAnsi="等线(中文正文)" w:cs="等线(中文正文)" w:eastAsia="等线(中文正文)"/>
          <w:b w:val="false"/>
          <w:i w:val="false"/>
          <w:sz w:val="20"/>
        </w:rPr>
        <w:t/>
      </w:r>
    </w:p>
    <w:p>
      <w:pPr>
        <w:pStyle w:val="ab"/>
      </w:pPr>
      <w:r>
        <w:t>公司对于未来三年的研发支出规划是怎样的？</w:t>
      </w:r>
    </w:p>
    <w:p>
      <w:r>
        <w:rPr>
          <w:rFonts w:ascii="等线(中文正文)" w:hAnsi="等线(中文正文)" w:cs="等线(中文正文)" w:eastAsia="等线(中文正文)"/>
          <w:b w:val="false"/>
          <w:i w:val="false"/>
          <w:sz w:val="20"/>
        </w:rPr>
        <w:t>发言人1：预计未来三年的研发费用复合增速会在10%多一些，主要增速投向会围绕3加N加3的产品战略来分配资源。一方面会巩固智能终端计算业务的研发优势，并推动AIPCAI手机IOT等多品类高附加产品的升级；另一方面将持续加大数据中心板块的研发资源倾斜，以支撑数据业务的高增长；此外，还会对前端布局如汽车电子、机器人及AI装车应用等新兴业务领域进行研发投入，并从中长期角度优化规模效应和研发效率，使得费用率逐步下降。</w:t>
      </w:r>
    </w:p>
    <w:p>
      <w:r>
        <w:rPr>
          <w:rFonts w:ascii="等线(中文正文)" w:hAnsi="等线(中文正文)" w:cs="等线(中文正文)" w:eastAsia="等线(中文正文)"/>
          <w:b w:val="false"/>
          <w:i w:val="false"/>
          <w:sz w:val="20"/>
        </w:rPr>
        <w:t/>
      </w:r>
    </w:p>
    <w:p>
      <w:pPr>
        <w:pStyle w:val="ab"/>
      </w:pPr>
      <w:r>
        <w:t>公司的资本开支规划如何？</w:t>
      </w:r>
    </w:p>
    <w:p>
      <w:r>
        <w:rPr>
          <w:rFonts w:ascii="等线(中文正文)" w:hAnsi="等线(中文正文)" w:cs="等线(中文正文)" w:eastAsia="等线(中文正文)"/>
          <w:b w:val="false"/>
          <w:i w:val="false"/>
          <w:sz w:val="20"/>
        </w:rPr>
        <w:t>发言人1：资本开支主要基于现有基地的制造设备投入，包括产线升级和智能化改造。未来三年，在产能端的资本开支展望大约每年在30亿左右的投入规模，资本开支与收入增长及订单能见度保持匹配，持续提升资产投入的效率水平。</w:t>
      </w:r>
    </w:p>
    <w:p>
      <w:r>
        <w:rPr>
          <w:rFonts w:ascii="等线(中文正文)" w:hAnsi="等线(中文正文)" w:cs="等线(中文正文)" w:eastAsia="等线(中文正文)"/>
          <w:b w:val="false"/>
          <w:i w:val="false"/>
          <w:sz w:val="20"/>
        </w:rPr>
        <w:t/>
      </w:r>
    </w:p>
    <w:p>
      <w:pPr>
        <w:pStyle w:val="ab"/>
      </w:pPr>
      <w:r>
        <w:t>数据中心业务在下半年是否存在进一步超预期的可能性？</w:t>
      </w:r>
    </w:p>
    <w:p>
      <w:r>
        <w:rPr>
          <w:rFonts w:ascii="等线(中文正文)" w:hAnsi="等线(中文正文)" w:cs="等线(中文正文)" w:eastAsia="等线(中文正文)"/>
          <w:b w:val="false"/>
          <w:i w:val="false"/>
          <w:sz w:val="20"/>
        </w:rPr>
        <w:t>发言人1：数据中心业务方面，尽管今年上半年处于转型阶段，营收增速受到一定影响，但从Q3开始已恢复到新的高速增长阶段，预计全年总营收将在去年基础上保持50%以上的增长，有机会在此基础上增加营收规模。同时，从Q3开始的每个季度营收基本可以稳定做到200亿以上。</w:t>
      </w:r>
    </w:p>
    <w:p>
      <w:r>
        <w:rPr>
          <w:rFonts w:ascii="等线(中文正文)" w:hAnsi="等线(中文正文)" w:cs="等线(中文正文)" w:eastAsia="等线(中文正文)"/>
          <w:b w:val="false"/>
          <w:i w:val="false"/>
          <w:sz w:val="20"/>
        </w:rPr>
        <w:t/>
      </w:r>
    </w:p>
    <w:p>
      <w:pPr>
        <w:pStyle w:val="ab"/>
      </w:pPr>
      <w:r>
        <w:t>对于全年数据中心业务的增速能否提供更详细的展望？包括各客户份额情况及产品结构的具体拆分。</w:t>
      </w:r>
    </w:p>
    <w:p>
      <w:r>
        <w:rPr>
          <w:rFonts w:ascii="等线(中文正文)" w:hAnsi="等线(中文正文)" w:cs="等线(中文正文)" w:eastAsia="等线(中文正文)"/>
          <w:b w:val="false"/>
          <w:i w:val="false"/>
          <w:sz w:val="20"/>
        </w:rPr>
        <w:t>发言人1：数据中心业务今年年初设定的目标是总营收规模50%以上增长，其中三家同步互联网客户的营收基本达到100亿数量级，超级点业务过100亿，网络业务在去年基础上翻倍达到60亿以上，行业市场也定下过100亿的目标。目前看来，这些目标基本可以达成，部分甚至有望超目标完成。业务结构和产品结构较去年有很大优化和改善。对于2023年，市场需求大幅增长，尤其是大客户投资增速显著，市场产品结构中超级点和网络占比将进一步提升。鉴于大部分客户招标工作已基本结束，今年的很多金融数据相对可见。公司将继续聚焦发挥前端和超节点的领先优势，预计2023年整体营收将在今年基础上保持大于50%的增长，同时在CSP客户中的市场份额将持续提升，尤其是明年超节点市场的份额会增大。</w:t>
      </w:r>
    </w:p>
    <w:p>
      <w:r>
        <w:rPr>
          <w:rFonts w:ascii="等线(中文正文)" w:hAnsi="等线(中文正文)" w:cs="等线(中文正文)" w:eastAsia="等线(中文正文)"/>
          <w:b w:val="false"/>
          <w:i w:val="false"/>
          <w:sz w:val="20"/>
        </w:rPr>
        <w:t/>
      </w:r>
    </w:p>
    <w:p>
      <w:pPr>
        <w:pStyle w:val="ab"/>
      </w:pPr>
      <w:r>
        <w:t>我们明年在营收方面的目标是如何设定的？</w:t>
      </w:r>
    </w:p>
    <w:p>
      <w:r>
        <w:rPr>
          <w:rFonts w:ascii="等线(中文正文)" w:hAnsi="等线(中文正文)" w:cs="等线(中文正文)" w:eastAsia="等线(中文正文)"/>
          <w:b w:val="false"/>
          <w:i w:val="false"/>
          <w:sz w:val="20"/>
        </w:rPr>
        <w:t>发言人1：我们明年确认的营收目标是在今年基础上实现倍数级的增长，同时网络业务明年营收目标是要继续保持翻一番，行业市场的目标也是维持营收规模在3。目前我们对实现这些目标充满信心，并将持续抓住机遇，保持较高的业务水平。</w:t>
      </w:r>
    </w:p>
    <w:p>
      <w:r>
        <w:rPr>
          <w:rFonts w:ascii="等线(中文正文)" w:hAnsi="等线(中文正文)" w:cs="等线(中文正文)" w:eastAsia="等线(中文正文)"/>
          <w:b w:val="false"/>
          <w:i w:val="false"/>
          <w:sz w:val="20"/>
        </w:rPr>
        <w:t/>
      </w:r>
    </w:p>
    <w:p>
      <w:pPr>
        <w:pStyle w:val="ab"/>
      </w:pPr>
      <w:r>
        <w:t>针对超节点项目，您能分享一下关于利润率问题和竞争格局的看法吗？在超节点的竞争格局方面，面对联想、中兴等众多竞争对手，我们如何保持领先地位和较高的利润率水平？</w:t>
      </w:r>
    </w:p>
    <w:p>
      <w:r>
        <w:rPr>
          <w:rFonts w:ascii="等线(中文正文)" w:hAnsi="等线(中文正文)" w:cs="等线(中文正文)" w:eastAsia="等线(中文正文)"/>
          <w:b w:val="false"/>
          <w:i w:val="false"/>
          <w:sz w:val="20"/>
        </w:rPr>
        <w:t>发言人1：关于利润率问题，超节点产品自去年节点放量以来，利润率和利润额都有大幅度提升。关于具体毛利率和净利率指引，由于不同行业和采购模式的影响，指标存在较大差异，但超节点的单品ROI远高于以前的产品品类，且由于华兴具有全栈优势和技术领先性，在同样的条件下，我们的毛利率和净利率会优于同行。目前，我们在非生成架构的超节点上是国内最早实现规模化量产交付的企业之一。随着四季度的持续上量，预计未来几年大型数据中心场景中，超节点将成为主要部署形态，市场占比可能会达到78%以上，因此超节点对业务的价值和贡献将持续扩大。</w:t>
      </w:r>
    </w:p>
    <w:p>
      <w:r>
        <w:rPr>
          <w:rFonts w:ascii="等线(中文正文)" w:hAnsi="等线(中文正文)" w:cs="等线(中文正文)" w:eastAsia="等线(中文正文)"/>
          <w:b w:val="false"/>
          <w:i w:val="false"/>
          <w:sz w:val="20"/>
        </w:rPr>
        <w:t/>
      </w:r>
    </w:p>
    <w:p>
      <w:pPr>
        <w:pStyle w:val="ab"/>
      </w:pPr>
      <w:r>
        <w:t>您提到的竞争问题以及如何应对？</w:t>
      </w:r>
    </w:p>
    <w:p>
      <w:r>
        <w:rPr>
          <w:rFonts w:ascii="等线(中文正文)" w:hAnsi="等线(中文正文)" w:cs="等线(中文正文)" w:eastAsia="等线(中文正文)"/>
          <w:b w:val="false"/>
          <w:i w:val="false"/>
          <w:sz w:val="20"/>
        </w:rPr>
        <w:t>发言人1：竞争确实是一个关注焦点，但从我们的视角看，超节点的竞争尚处于初级阶段，这是一个涉及技术研发、生产供应链整体能力的复杂系统，门槛较高。随着大规模交付的展开，厂商格局将发生变化。我们将发挥全栈能力，强化网络互联优势，保持技术领先，并在制造能力和产能规模上构建优势，提前布局新技术，确保预研一代、研发一代、量产一代，通过这些努力在接下来的增量市场中巩固领先地位。</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2026-08-25T14:20:57Z</dcterms:created>
  <dc:creator>Apache POI</dc:creator>
</cp:coreProperties>
</file>