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风语筑 260805_原文</w:t>
      </w:r>
    </w:p>
    <w:p>
      <w:pPr>
        <w:jc w:val="center"/>
      </w:pPr>
      <w:r>
        <w:rPr>
          <w:rFonts w:ascii="等线(中文正文)" w:hAnsi="等线(中文正文)" w:cs="等线(中文正文)" w:eastAsia="等线(中文正文)"/>
          <w:b w:val="false"/>
          <w:i w:val="false"/>
          <w:sz w:val="20"/>
        </w:rPr>
        <w:t>2026年08月25日 01:34</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目前所有的参会者均处于静音状态。在演讲结束后将给大家。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00:11</w:t>
      </w:r>
    </w:p>
    <w:p>
      <w:r>
        <w:rPr>
          <w:rFonts w:ascii="等线(中文正文)" w:hAnsi="等线(中文正文)" w:cs="等线(中文正文)" w:eastAsia="等线(中文正文)"/>
          <w:b w:val="false"/>
          <w:i w:val="false"/>
          <w:sz w:val="20"/>
        </w:rPr>
        <w:t>开语音会议，目前所有的参会者均处于静音状态，在演讲结束后将给大家留提问时间。现在开始播报声音，声音播报完毕后，请主持人开始发言，谢谢。本次会议为天风证券研究所部门会议，仅限受邀嘉宾参会。未经天风证券研究所和演讲嘉宾书面许可，任何机构和个人不得以任何形式将会议内容和相关信息对外公布、转发、转载、传播、复制、编辑、修改等。如有上述违法行为，天风证券研究所保留追究相关方法律责任的权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w:t>
      </w:r>
    </w:p>
    <w:p>
      <w:r>
        <w:rPr>
          <w:rFonts w:ascii="等线(中文正文)" w:hAnsi="等线(中文正文)" w:cs="等线(中文正文)" w:eastAsia="等线(中文正文)"/>
          <w:b w:val="false"/>
          <w:i w:val="false"/>
          <w:sz w:val="20"/>
        </w:rPr>
        <w:t>各位领导好，今天汇报的公司是风雨柱，汇报的主题是文旅消费为新的增长点，聚焦AI和自身智能体验经济。一是关于供给度的一个核心观点是第一大块是看到它的一个经营筑底，结构优化，亏损收窄背后的一个高质量转型。公司整体的毛高毛利的项目整体的提升，费用优化以及减持压力缓和。2022年的话同比数实现了营业收入11 16.62亿，同比增加20.72%。</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01:41</w:t>
      </w:r>
    </w:p>
    <w:p>
      <w:r>
        <w:rPr>
          <w:rFonts w:ascii="等线(中文正文)" w:hAnsi="等线(中文正文)" w:cs="等线(中文正文)" w:eastAsia="等线(中文正文)"/>
          <w:b w:val="false"/>
          <w:i w:val="false"/>
          <w:sz w:val="20"/>
        </w:rPr>
        <w:t>毛利率的话也同比也增加了0.36个点，达到23。公募净利的话则是从24年的亏损1点三五亿收窄到了0.18。我们主要让页面的修复来自三个因素。第一是整体项目的一个结构优化，高毛利利率上升的一个占比提升。第二块的话是公司的一个费用率的优化开始兑现。今天的二个月就是之前公司的一个贬值压力，虽然依旧很高，但天气上已经开始缓和。而从20年一季度的报表来看的话，公司已经在收入收缩的背景下是实现了一个利润端的改善。上面是公司的一个基本面的复盘，看到了业绩业绩拐点的一个显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02:41</w:t>
      </w:r>
    </w:p>
    <w:p>
      <w:r>
        <w:rPr>
          <w:rFonts w:ascii="等线(中文正文)" w:hAnsi="等线(中文正文)" w:cs="等线(中文正文)" w:eastAsia="等线(中文正文)"/>
          <w:b w:val="false"/>
          <w:i w:val="false"/>
          <w:sz w:val="20"/>
        </w:rPr>
        <w:t>第二大点的话就是公司的一些边际的变化。首先是未来的发展是切入文旅项目运营年，从建设项目建设走向长效运营的这样一个战略升级，被定义为公司的一个第二增长曲线。另外的话包含了推动自身智能场景化落地，以及移动AI等视频制作生成方式跟一些新趋势的代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03:11</w:t>
      </w:r>
    </w:p>
    <w:p>
      <w:r>
        <w:rPr>
          <w:rFonts w:ascii="等线(中文正文)" w:hAnsi="等线(中文正文)" w:cs="等线(中文正文)" w:eastAsia="等线(中文正文)"/>
          <w:b w:val="false"/>
          <w:i w:val="false"/>
          <w:sz w:val="20"/>
        </w:rPr>
        <w:t>盈利预测已终止的话，公司目前预计公司26到当年的一个公司净利润分别为1.5亿、1.7亿和2.1亿。26年的话业绩可以实现一个扭亏为盈，2 7228年的话同比业绩增长15%和21%。你具体来看一下，首先还是看一下公司是谁。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03:40</w:t>
      </w:r>
    </w:p>
    <w:p>
      <w:r>
        <w:rPr>
          <w:rFonts w:ascii="等线(中文正文)" w:hAnsi="等线(中文正文)" w:cs="等线(中文正文)" w:eastAsia="等线(中文正文)"/>
          <w:b w:val="false"/>
          <w:i w:val="false"/>
          <w:sz w:val="20"/>
        </w:rPr>
        <w:t>公司是中国数字展示行业的一个头企业，也是上市的第一股。致力于成为国内领先的一个数字化体验服务商。主要是依托公司在数字科技应用领域的一些技术优势，以及公司在数字艺术沉浸式体验领域积累的资源。产品和服务广泛应用于数字展示、城市文化体验、数字文旅、商业展览以及零售体验、网页MBA以及数字营销等众多领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04:19</w:t>
      </w:r>
    </w:p>
    <w:p>
      <w:r>
        <w:rPr>
          <w:rFonts w:ascii="等线(中文正文)" w:hAnsi="等线(中文正文)" w:cs="等线(中文正文)" w:eastAsia="等线(中文正文)"/>
          <w:b w:val="false"/>
          <w:i w:val="false"/>
          <w:sz w:val="20"/>
        </w:rPr>
        <w:t>公司的股权的话目前较为集中一致，其他人的总持股达到了38.2。其中理会信号应与上海励志投资合伙企业为一致情况人。公司的一个业务主要分为三大块。第一是城市数字化体验空间，二年的营收占比15.3%。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04:44</w:t>
      </w:r>
    </w:p>
    <w:p>
      <w:r>
        <w:rPr>
          <w:rFonts w:ascii="等线(中文正文)" w:hAnsi="等线(中文正文)" w:cs="等线(中文正文)" w:eastAsia="等线(中文正文)"/>
          <w:b w:val="false"/>
          <w:i w:val="false"/>
          <w:sz w:val="20"/>
        </w:rPr>
        <w:t>这块的话主要是展示城市历史文化底蕴，建设成就以及未来规划的一个运行。这块业务的话是公司起家的一个业务，在世博会期间助力公司的业务助力公司的规模快速扩大。但是目前的话因为不是开发已经进入了尾声，所以这一块的业务的占比量急剧的萎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05:11</w:t>
      </w:r>
    </w:p>
    <w:p>
      <w:r>
        <w:rPr>
          <w:rFonts w:ascii="等线(中文正文)" w:hAnsi="等线(中文正文)" w:cs="等线(中文正文)" w:eastAsia="等线(中文正文)"/>
          <w:b w:val="false"/>
          <w:i w:val="false"/>
          <w:sz w:val="20"/>
        </w:rPr>
        <w:t>第二它是文化及品牌数字化体验的空间，二年的营收占比达到了80.4%。这块的话主要是通过创意设计数字艺术成绩，是原本原作者去给一个文化特色和品牌形象进行打造。重点是面向社会大众和消费者方的一个互动体验的空间。第三大块的话是数字化产品服务，您的您收占比达到8.3%，这块的占比比较小，但是毛利率会比较高。主要就是说通过一些全新影像，有点3DCGI的特效技术手段，通过视频等媒介的方式，为客户和消费者提供商业展览、数字艺术消费品等各类数字视频的视觉服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06:06</w:t>
      </w:r>
    </w:p>
    <w:p>
      <w:r>
        <w:rPr>
          <w:rFonts w:ascii="等线(中文正文)" w:hAnsi="等线(中文正文)" w:cs="等线(中文正文)" w:eastAsia="等线(中文正文)"/>
          <w:b w:val="false"/>
          <w:i w:val="false"/>
          <w:sz w:val="20"/>
        </w:rPr>
        <w:t>整体看一下公司的一个财务情况。阿里云的话实现的收入是16.6万亿，同比是增长趋势。综合毛利的话达到了23.34%，略微同比略微有提升，最重要的是公司的一个工作经历的话，亏损大幅收窄至0.18亿。利润的收入主要来自三个因素，第一个是刚才利率项目占比的一个提升。2025年的话文化及品牌数字化体验空间收入达到了13.35亿，同比增长53%，成为了收入增速的一个核心支柱。其毛利率为22.2%，较上年同比提升了0.85%个点。相比之下的话，城市数字化体验空间收入仅为1.8万元，同比下降，且它的毛利率21.93%，所以说这也是这个光芒率项目的占比提升，导致了整体的一个能也提升修复了它成为日本修复的原因之一。我们判断在政府的预算偏弱的情况下，公司已经足够百分百的将军转向更接近消费端与运营端的文化及品牌数字化体验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07:40</w:t>
      </w:r>
    </w:p>
    <w:p>
      <w:r>
        <w:rPr>
          <w:rFonts w:ascii="等线(中文正文)" w:hAnsi="等线(中文正文)" w:cs="等线(中文正文)" w:eastAsia="等线(中文正文)"/>
          <w:b w:val="false"/>
          <w:i w:val="false"/>
          <w:sz w:val="20"/>
        </w:rPr>
        <w:t>2.0公司担保项目的一个占比提升作用优化与减值压力缓和，话以下二年的期间费用合计约15点15.99%，环比下降了2.9个点。整体的这个期间费用的负担在2024年已经有明显的改善。下面就是减值压力虽然高，但业绩上已经缓和。2024年的话，整体的一个包含计划的资产减值达到了两个亿。对到2025年的话，整体的减值损失1点六七个亿，到2024年下降了3550万元。其中应收账款的坏账损失由24年的1.75亿降至2025年的1.5个亿。在整体咱们的资产减值和应收账款的坏账损失的基本比例，工资比较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08:50</w:t>
      </w:r>
    </w:p>
    <w:p>
      <w:r>
        <w:rPr>
          <w:rFonts w:ascii="等线(中文正文)" w:hAnsi="等线(中文正文)" w:cs="等线(中文正文)" w:eastAsia="等线(中文正文)"/>
          <w:b w:val="false"/>
          <w:i w:val="false"/>
          <w:sz w:val="20"/>
        </w:rPr>
        <w:t>六年的纯净度的话，公司实现了营业收入三个亿，同比是一个下降的。但是同时公司净利润的话同比增长达到5.79%个点。公司说明公司在这个收入收缩的背景下，实现了利润状况改善，公司季度的毛利率升至34%，显著高于2025年全年的23%，也高于2025年一季度的31%。</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09:20</w:t>
      </w:r>
    </w:p>
    <w:p>
      <w:r>
        <w:rPr>
          <w:rFonts w:ascii="等线(中文正文)" w:hAnsi="等线(中文正文)" w:cs="等线(中文正文)" w:eastAsia="等线(中文正文)"/>
          <w:b w:val="false"/>
          <w:i w:val="false"/>
          <w:sz w:val="20"/>
        </w:rPr>
        <w:t>且200季度的信用及资产减值损失为0.1 7亿元，同比收窄了15个点。对我来看的话，近五年来公司的文化及品牌数字化体验空间的营收占比在逐年的提升，在2025年占比达到了80%。相比于城市数字化体验空间，前者是面向社会大众和消费者开放，或者主要是协助政府开展政务接待规划展示等等。025年公司数字化产品和服务的毛利是最高的，达到了36%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10:02</w:t>
      </w:r>
    </w:p>
    <w:p>
      <w:r>
        <w:rPr>
          <w:rFonts w:ascii="等线(中文正文)" w:hAnsi="等线(中文正文)" w:cs="等线(中文正文)" w:eastAsia="等线(中文正文)"/>
          <w:b w:val="false"/>
          <w:i w:val="false"/>
          <w:sz w:val="20"/>
        </w:rPr>
        <w:t>但是相比2024年还是有一个大幅的降低。公司这边主要是因为有两个金额比较大的项目，拉低了一个整体的毛利率。后续这一块后续这一块的影响到2029年会消失我们命运。其次是文化及品牌数字化体验空间，以及城市数字化体验空间。2% 12点200分之21.93。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10:34</w:t>
      </w:r>
    </w:p>
    <w:p>
      <w:r>
        <w:rPr>
          <w:rFonts w:ascii="等线(中文正文)" w:hAnsi="等线(中文正文)" w:cs="等线(中文正文)" w:eastAsia="等线(中文正文)"/>
          <w:b w:val="false"/>
          <w:i w:val="false"/>
          <w:sz w:val="20"/>
        </w:rPr>
        <w:t>第三的话是公司的一个经营模式开始转向现金，为网银阁筛选项目，杜绝垫资。公司在2025年开始全面强化应收账款的管理体系，对于高风险的账款和权杖影响实行一个专项的催收，去进一步优化资金的流动性。在业务沉淀的环节也开始执行项目的一个筛选标准，杜绝垫资项目。在项目的管理过程中，工具严抓结算与回款的流程。在这里这个调整的结果反映在数据上的话是25年公司的一个销售中占比提升到了180%，经营活动现金流增加到1.86，较2024年拿出0.3 2亿元的一个大不断改善。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11:31</w:t>
      </w:r>
    </w:p>
    <w:p>
      <w:r>
        <w:rPr>
          <w:rFonts w:ascii="等线(中文正文)" w:hAnsi="等线(中文正文)" w:cs="等线(中文正文)" w:eastAsia="等线(中文正文)"/>
          <w:b w:val="false"/>
          <w:i w:val="false"/>
          <w:sz w:val="20"/>
        </w:rPr>
        <w:t>第二大块就是公司的业务上的一个编辑变化。首先是开始聚焦AI体验经济，公司的客户他还是以政府为主的，但是目前的话开始从规划中转移到了B转口，通过融合AI加体验机体验经济的一个发展理念，全面布局城市化IIP全面的打造文化遗址的活化，历史建筑功能的改造。再来看场景的的存量空间数字化的更新等等。多元领悟多元的领悟。25年的话典型的项目比如说东坡乐视、华北老电厂、工业博物馆等标杆的管理项目。是安全给大家体验经济的一个底层内容与场景落地的一个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12:27</w:t>
      </w:r>
    </w:p>
    <w:p>
      <w:r>
        <w:rPr>
          <w:rFonts w:ascii="等线(中文正文)" w:hAnsi="等线(中文正文)" w:cs="等线(中文正文)" w:eastAsia="等线(中文正文)"/>
          <w:b w:val="false"/>
          <w:i w:val="false"/>
          <w:sz w:val="20"/>
        </w:rPr>
        <w:t>第二个的话也是目前比较现实落地的，就是公司开始切入消费网点的一个运营环节。这个问题将会让公司的一个盈利韧性显著的增强。在文旅消费复苏的前提下，公司推动了业务模式从项目建设向长效运营的一个战略圈。比如说目前公司比较有代表性的几个运营项目，孟辉圆明园的一二三空间、苏州未来科幻馆、上海在水一方科幻馆专题未来询问等项目的一个常态化运营和内容迭代更新。我认为如果公司开始从这个一次性交付的收入模式转向了预期运营的模式的话。虽然整体的项目的单体规模未必很大，但是如果能够形成一个稳定的客流和消费闭环，它的盈利韧性和现金流的质量可能会更有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13:31</w:t>
      </w:r>
    </w:p>
    <w:p>
      <w:r>
        <w:rPr>
          <w:rFonts w:ascii="等线(中文正文)" w:hAnsi="等线(中文正文)" w:cs="等线(中文正文)" w:eastAsia="等线(中文正文)"/>
          <w:b w:val="false"/>
          <w:i w:val="false"/>
          <w:sz w:val="20"/>
        </w:rPr>
        <w:t>他的话还是看一下公司所处这个行业的发展情况。公司它目前它依旧是处于一个文化服务业。传统的文化服务业上的话，通过AI和数字化连接辅助手段，是推动行业的一个进一步发展。数字经济的话现在已经是国民经济稳增长的一个核心引擎，贡献率持续攀升。如果公司具备人工智能生成内容的核心应用能力和数字化流程，可以让公司在成本管控、项目交付周期以及用户体验等方面逐步形成显著的一个竞争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14:14</w:t>
      </w:r>
    </w:p>
    <w:p>
      <w:r>
        <w:rPr>
          <w:rFonts w:ascii="等线(中文正文)" w:hAnsi="等线(中文正文)" w:cs="等线(中文正文)" w:eastAsia="等线(中文正文)"/>
          <w:b w:val="false"/>
          <w:i w:val="false"/>
          <w:sz w:val="20"/>
        </w:rPr>
        <w:t>根据国家统计局的数据，全国规模以上的文化及相关产业实现营业收入的是稳步增长的22年，同比增长了7.4%。其中尤其是公司所处的数字创业沉浸式体验为代表的文化服务业，同比增长了12%点，是快于全部规模以上文化企业的4.6%的，属于一个增长较快的细分赛道。2025年文化服务业占文化及相关产业总收入达到了56.4%，将近过半。在产业的实践层面的话来看，科技旅游和城市更新的这样一个深度融合的目标，是已经成为行业的一个增长的核心驱动包括。中国的展览数量和展览面积的情况，在22年开始也是产生了一个大量的反转，再继续不断的往上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15:23</w:t>
      </w:r>
    </w:p>
    <w:p>
      <w:r>
        <w:rPr>
          <w:rFonts w:ascii="等线(中文正文)" w:hAnsi="等线(中文正文)" w:cs="等线(中文正文)" w:eastAsia="等线(中文正文)"/>
          <w:b w:val="false"/>
          <w:i w:val="false"/>
          <w:sz w:val="20"/>
        </w:rPr>
        <w:t>二大块的话就是公司通过布局AI家居企业金请关注公众号思维基要社，更多纪要请加V西安20210130的这样一个盈利模式，持续持续推动自身智能场景化的一个落地。首先是通过标杆的新产品和存量版的迭代，去进行规模化复制，持续优化你的盈利能力。具体来看的话，26年的话公司将全力推进澄迈直播中国香港代码会零一新的标志性项目的一个落地，打造具有全国示范效应的一个行业标杆。再一次系统体验AI加体验经济的一个作品。同时针对存量展展馆的话，实现一个内容迭代计划。通过视频技术，多模态交互等技术，推动传统传传统的这个展览空间，像高转化的文化体验与消费终端的转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16:29</w:t>
      </w:r>
    </w:p>
    <w:p>
      <w:r>
        <w:rPr>
          <w:rFonts w:ascii="等线(中文正文)" w:hAnsi="等线(中文正文)" w:cs="等线(中文正文)" w:eastAsia="等线(中文正文)"/>
          <w:b w:val="false"/>
          <w:i w:val="false"/>
          <w:sz w:val="20"/>
        </w:rPr>
        <w:t>第二的话的话是公司在2027年会全面推进科技馆创新计划，培育稳定的利润增长点。通过整合人工智能航天科技的高端资源，为全国的一个科技馆输出一个科技的数字江湖的高附加值整体解决方案。这一块的话通过这个构建科创交易新生态，反而去培育稳定的一个利润增长点。全国的科技馆数量和建筑统计面积，科技馆数量在2025年达到了五百多个，总建筑面积的话也是600万平方米。这一块如果通过全量更新的话，还是有会给公司带来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17:17</w:t>
      </w:r>
    </w:p>
    <w:p>
      <w:r>
        <w:rPr>
          <w:rFonts w:ascii="等线(中文正文)" w:hAnsi="等线(中文正文)" w:cs="等线(中文正文)" w:eastAsia="等线(中文正文)"/>
          <w:b w:val="false"/>
          <w:i w:val="false"/>
          <w:sz w:val="20"/>
        </w:rPr>
        <w:t>第三第四点的话，关于区分智能场景化落地以及AI视频技术等这一些目前属于公司的一个期权趋势。就是收入它确实是没有办法体现在报表上面。但是可以看到公司的一个而目前技科技衔接的这样的一个目标，后续要持续观测他们是否有新的一些落地的成果和收入的产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17:52</w:t>
      </w:r>
    </w:p>
    <w:p>
      <w:r>
        <w:rPr>
          <w:rFonts w:ascii="等线(中文正文)" w:hAnsi="等线(中文正文)" w:cs="等线(中文正文)" w:eastAsia="等线(中文正文)"/>
          <w:b w:val="false"/>
          <w:i w:val="false"/>
          <w:sz w:val="20"/>
        </w:rPr>
        <w:t>第三大块就是公司的竞争优势。第一条的话是公布一个全链条的服务能力和资质壁垒。整体而言的话，还是保留少数具备创意规划、影视内容加盟开发、工程集成和长期运营这样一个整体服务链条的企业。而且具备工程包括整理沉淀工程等比较核心的资质。多数同一类的大部分竞争对手的话，可能比较难以具备左转的资质。所以说在承接大型综合项目上，公司具有一定的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18:31</w:t>
      </w:r>
    </w:p>
    <w:p>
      <w:r>
        <w:rPr>
          <w:rFonts w:ascii="等线(中文正文)" w:hAnsi="等线(中文正文)" w:cs="等线(中文正文)" w:eastAsia="等线(中文正文)"/>
          <w:b w:val="false"/>
          <w:i w:val="false"/>
          <w:sz w:val="20"/>
        </w:rPr>
        <w:t>第二个就是行业的一个先发优势和标杆的一些案例库。公司成立于03年，17年上市，是数字文化展示的第一股。到目前为止已经落地超过1200个传统标准的数字化减持项目。所以说的话如果在后续的招投标中，公司的已有的案例的话，可以帮助他更好的去承接到新的项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19:01</w:t>
      </w:r>
    </w:p>
    <w:p>
      <w:r>
        <w:rPr>
          <w:rFonts w:ascii="等线(中文正文)" w:hAnsi="等线(中文正文)" w:cs="等线(中文正文)" w:eastAsia="等线(中文正文)"/>
          <w:b w:val="false"/>
          <w:i w:val="false"/>
          <w:sz w:val="20"/>
        </w:rPr>
        <w:t>第三个是政企的客户资源和复工联系。公司的客户主要还是为政府国企，尤其是规划性的或者文旅性的这样的一些企业和政府。2022年的话，前五大客户的合计销售占比仅为32%，所以说客户的整体的集中度还是比较低的。存量贷款后期的运维业务的一个失业率的约为70%，可以持续给公司输送稳定的现金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19:36</w:t>
      </w:r>
    </w:p>
    <w:p>
      <w:r>
        <w:rPr>
          <w:rFonts w:ascii="等线(中文正文)" w:hAnsi="等线(中文正文)" w:cs="等线(中文正文)" w:eastAsia="等线(中文正文)"/>
          <w:b w:val="false"/>
          <w:i w:val="false"/>
          <w:sz w:val="20"/>
        </w:rPr>
        <w:t>第四大块的话是在手订单相对充裕。截止2025年底的话，在手订单的合计金额有加1 8亿元，约为2025年营收的2.3倍。口味公司未来2到3年的业务提供一个支撑。第五大点的话就刚才提到的前沿技术应用布局的一个前瞻性，属于一个期权性的趋势。工业研发人员的占比超过60%，研发投入的话25年是5800多万，占到整体医生的3.5%还是要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20:15</w:t>
      </w:r>
    </w:p>
    <w:p>
      <w:r>
        <w:rPr>
          <w:rFonts w:ascii="等线(中文正文)" w:hAnsi="等线(中文正文)" w:cs="等线(中文正文)" w:eastAsia="等线(中文正文)"/>
          <w:b w:val="false"/>
          <w:i w:val="false"/>
          <w:sz w:val="20"/>
        </w:rPr>
        <w:t>2025年成立了聚生智能研究院，联手语数科技风联动力布局，连接机器人和文艺，请关注公众号思维纪要社，更多纪要请加V西安20210130。包括与老陈科技合作两机接口客户体验，与字节跳动提供AI合作，AIGC的内容创作，与媒体的合作，AI的文博文旅应用，并部署了专属的AIGC智能体。可以将一个项目的概念开发周期从周期压缩到天数。但整体来看的话，上面的这一些应用布局说明公司它还是专注于技术的一个应用层的一个集成，不是涉及到一个技术的研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21:11</w:t>
      </w:r>
    </w:p>
    <w:p>
      <w:r>
        <w:rPr>
          <w:rFonts w:ascii="等线(中文正文)" w:hAnsi="等线(中文正文)" w:cs="等线(中文正文)" w:eastAsia="等线(中文正文)"/>
          <w:b w:val="false"/>
          <w:i w:val="false"/>
          <w:sz w:val="20"/>
        </w:rPr>
        <w:t>大概就是关于公司的盈利预估与估值。营业收入的话整体的话是二月到28年的话，收入增速考虑了11%到6%。在文化与品牌数字化体验馆这块，给予了一个营收增长15%百5%。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21:32</w:t>
      </w:r>
    </w:p>
    <w:p>
      <w:r>
        <w:rPr>
          <w:rFonts w:ascii="等线(中文正文)" w:hAnsi="等线(中文正文)" w:cs="等线(中文正文)" w:eastAsia="等线(中文正文)"/>
          <w:b w:val="false"/>
          <w:i w:val="false"/>
          <w:sz w:val="20"/>
        </w:rPr>
        <w:t>主要是两点，一个是科技馆创新这个存量市场的话，会给是公司未来的一个重要的发展点。而且它是面向社会大众和消费者开放的空间大的话的话是除了科技馆的话，26年对只做公关项目，香港马家店VC的标杆项目的落地的话，这两块的话会给公司共持续贡献营收。但是在城市数字化体验空间的话，这个板块还是由于这个。城市化城市化的一个萎缩期，政府也后续持续控制规划展示馆开发，主要是一些明星的膨胀更新，所以说这个规模的话肯定是影响旅游开发的。所以说该板块的规模考虑会持续收缩，未来三年的增长率考虑为-55%、-40%和-40%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22:45</w:t>
      </w:r>
    </w:p>
    <w:p>
      <w:r>
        <w:rPr>
          <w:rFonts w:ascii="等线(中文正文)" w:hAnsi="等线(中文正文)" w:cs="等线(中文正文)" w:eastAsia="等线(中文正文)"/>
          <w:b w:val="false"/>
          <w:i w:val="false"/>
          <w:sz w:val="20"/>
        </w:rPr>
        <w:t>第三大板块的话就是数字化的产品及服务。该业务的话因为是初期的，因此虽然增长比较快，但是他们的订单金额不会很高。过去四年该业务的平均增长率为62%，预计二月到28年的营业收入增长率达到60%、40%和2%。毛利率的话整体会出现一个小幅回升，但是变化没有很大。公司在信用减值损失的预算的话需要重点提示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23:20</w:t>
      </w:r>
    </w:p>
    <w:p>
      <w:r>
        <w:rPr>
          <w:rFonts w:ascii="等线(中文正文)" w:hAnsi="等线(中文正文)" w:cs="等线(中文正文)" w:eastAsia="等线(中文正文)"/>
          <w:b w:val="false"/>
          <w:i w:val="false"/>
          <w:sz w:val="20"/>
        </w:rPr>
        <w:t>2006年的话，公司发布了一个新增诉讼仲裁的一个公告，合计有2.96亿涉诉债权。当然其中有81%都是公司的一个催收原告的案件，属于存量欠款的一个集中清收。整体来看的话，截止2020年末，公司的应收账款与合同资产账面原值为24亿，累计计提的坏账远程1.63列，包括计提比例48%。陈哥如果本次涉诉的逾期应收款的账龄都比较长，已经在前进进行了减值计提。后续即便触发案件的回款不及预期，也不会发生大额的突发性的一个利润减持。而且如果案例如果能够执行回款的话，前期计提的坏账还可以冲回，后续将对业绩进行一个正向的定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24:19</w:t>
      </w:r>
    </w:p>
    <w:p>
      <w:r>
        <w:rPr>
          <w:rFonts w:ascii="等线(中文正文)" w:hAnsi="等线(中文正文)" w:cs="等线(中文正文)" w:eastAsia="等线(中文正文)"/>
          <w:b w:val="false"/>
          <w:i w:val="false"/>
          <w:sz w:val="20"/>
        </w:rPr>
        <w:t>在1月24号的时候，刚才发布应收账款的一个债务重组的公告，通过债务重组等方式去推进存量应收账款的一个风险化解的工作。通过涉及的应收账款债权金额累计不超过2亿元。本次的应收像在成品已经到账的有1010在卖，也有的截止6月24号的时候，已经有1000万的这个应收账款进行了回收。由于双方的债权已经充分进行减值准备，所以说如果债务重组顺利实施的话，预计将有助于促进资产负债表的一个收入，收获，并且对公司的一个经营业绩产生积极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25:16</w:t>
      </w:r>
    </w:p>
    <w:p>
      <w:r>
        <w:rPr>
          <w:rFonts w:ascii="等线(中文正文)" w:hAnsi="等线(中文正文)" w:cs="等线(中文正文)" w:eastAsia="等线(中文正文)"/>
          <w:b w:val="false"/>
          <w:i w:val="false"/>
          <w:sz w:val="20"/>
        </w:rPr>
        <w:t>公司的话，刚才的这这个仲裁的话，其中公司还有5600万是做被告的。但是考虑到该公司损失，应该可以是由上述的这个应收账款的动作回款债务重组的成果进行对冲公司25年的年报提出之后续经营已现经营为王的概念。所以说对于新承接的一个项目执行会执行会有更严格的准入标准，预测新增的订单在信用贬值这一块总是会大幅降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25:50</w:t>
      </w:r>
    </w:p>
    <w:p>
      <w:r>
        <w:rPr>
          <w:rFonts w:ascii="等线(中文正文)" w:hAnsi="等线(中文正文)" w:cs="等线(中文正文)" w:eastAsia="等线(中文正文)"/>
          <w:b w:val="false"/>
          <w:i w:val="false"/>
          <w:sz w:val="20"/>
        </w:rPr>
        <w:t>考虑到20年第一季度的信用检测只有10只有1200。前26年上半年的业绩预告，公司表示信减值损失同比会明显减少，且半年规模净利润预测为9000万只1点三五亿，同比大幅提升。所以说考虑综上的这些因素，25年公司的信用减值损失150 200万，预测26到28年的一个信用减值会逐年大幅减少。但是考虑是这一个的话，目前是考虑的20到28年的信用减值损失为110 400万、100百万和90 500万。最终工作的一个规模净利预测为1.5亿、1.7亿和2.1亿。2026年的话业绩也会在27到28年的话，会有我们同比的增长15%到20%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26:48</w:t>
      </w:r>
    </w:p>
    <w:p>
      <w:r>
        <w:rPr>
          <w:rFonts w:ascii="等线(中文正文)" w:hAnsi="等线(中文正文)" w:cs="等线(中文正文)" w:eastAsia="等线(中文正文)"/>
          <w:b w:val="false"/>
          <w:i w:val="false"/>
          <w:sz w:val="20"/>
        </w:rPr>
        <w:t>一个就来看的话，公司的费用率优化已经兑现，整车压力边际缓和，进一步倾向展现业务结构持续优化，帮忙应用的占比增加，毛利率的话会起稳回升。而且在文旅消费的激励下的话，公司持续推进业务模式从建设向长效运营的模式升级。另外的话公司外来的技术设施包括了去向技能的一些应用，推广AI生AI视频生成技术等等。不会给公司的一个后续的估值带来注意，首次覆盖给予了坚持评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27:36</w:t>
      </w:r>
    </w:p>
    <w:p>
      <w:r>
        <w:rPr>
          <w:rFonts w:ascii="等线(中文正文)" w:hAnsi="等线(中文正文)" w:cs="等线(中文正文)" w:eastAsia="等线(中文正文)"/>
          <w:b w:val="false"/>
          <w:i w:val="false"/>
          <w:sz w:val="20"/>
        </w:rPr>
        <w:t>这个是一个风险提示。首先还是经济上很大经济波动的一个风险。虽然现在已经从城市规划来恰饭，到了一家男女的。但是如果还是担心这，因为即使是一板块的话，它的客户还是。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28:09</w:t>
      </w:r>
    </w:p>
    <w:p>
      <w:r>
        <w:rPr>
          <w:rFonts w:ascii="等线(中文正文)" w:hAnsi="等线(中文正文)" w:cs="等线(中文正文)" w:eastAsia="等线(中文正文)"/>
          <w:b w:val="false"/>
          <w:i w:val="false"/>
          <w:sz w:val="20"/>
        </w:rPr>
        <w:t>因为他的他不仅面临着时代，面临一个企业的直接竞争，同时还会受到网络营销、建筑设计放大游戏等领域企业跨界渗透。所以说它的竞争呈现了一个多维度跨领域的特征，行业集中度也是比较低的。第三个就是核心人力流失的风险。因为整个公司它的主要的一个竞争力还是在这个人的创业设计的方面。就是说核心管理人员和技术人员流失会出现比较大的风险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28:48</w:t>
      </w:r>
    </w:p>
    <w:p>
      <w:r>
        <w:rPr>
          <w:rFonts w:ascii="等线(中文正文)" w:hAnsi="等线(中文正文)" w:cs="等线(中文正文)" w:eastAsia="等线(中文正文)"/>
          <w:b w:val="false"/>
          <w:i w:val="false"/>
          <w:sz w:val="20"/>
        </w:rPr>
        <w:t>第四个是研发技术跟进以及行业风险。行业技术迭代的速度比较快，下游客户对体验经济加速效果以及技术先进性的要求在持续的提升。说在这个人工智能技术应用的数据安全、内容合规等监管要求是两个。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29:08</w:t>
      </w:r>
    </w:p>
    <w:p>
      <w:r>
        <w:rPr>
          <w:rFonts w:ascii="等线(中文正文)" w:hAnsi="等线(中文正文)" w:cs="等线(中文正文)" w:eastAsia="等线(中文正文)"/>
          <w:b w:val="false"/>
          <w:i w:val="false"/>
          <w:sz w:val="20"/>
        </w:rPr>
        <w:t>第五大点是比较是对对，是大家最为关心的就是项目的一个应收账款的管理风险。因为公司作为一个投资风险比较大，实施周期比较长，参与环节比较多这样的特点。所以说这个项目的进度质量管控和推进统筹的安排完成。但是项目的一些业主方的付款进度会受到各种因素的影响，可能会出现这个款项的支付延迟，从而造成公司一个应收账款的回收压力。后续会持续关注公司的一个信用减值的情况，以及应收账款的回收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29:53</w:t>
      </w:r>
    </w:p>
    <w:p>
      <w:r>
        <w:rPr>
          <w:rFonts w:ascii="等线(中文正文)" w:hAnsi="等线(中文正文)" w:cs="等线(中文正文)" w:eastAsia="等线(中文正文)"/>
          <w:b w:val="false"/>
          <w:i w:val="false"/>
          <w:sz w:val="20"/>
        </w:rPr>
        <w:t>最后是公司股价暴跌的风险。因为刚才聊到一些期权趣事，包括自身智能AI视频耳机接口这一些未来趋势，导致公司的股票短期有一些涨跌幅比较显著的情况，存在投资风险，以上就是对光明柱的一个公司的一个简单汇报，谢谢周莹的。感谢大家参加今天的会议，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2026-08-24T17:38:49Z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E6636BB100BBAFBB4581D91E6DDB84146316BE8CB3FDD17C1AFE463F47DFE58AEEFB9DEC4E5CEED4A8181713B31F40975F6F64C31A5B28665544AC765002CED7CF3F535</vt:lpwstr>
  </property>
</Properties>
</file>