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平高电气 260820_导读</w:t>
      </w:r>
    </w:p>
    <w:p>
      <w:pPr>
        <w:pStyle w:val="a0"/>
        <w:jc w:val="center"/>
      </w:pPr>
      <w:r>
        <w:t>2026年08月25日 01:34</w:t>
      </w:r>
    </w:p>
    <w:p>
      <w:pPr>
        <w:pStyle w:val="a7"/>
      </w:pPr>
      <w:r>
        <w:t>关键词</w:t>
      </w:r>
    </w:p>
    <w:p>
      <w:r>
        <w:rPr>
          <w:rFonts w:ascii="等线(中文正文)" w:hAnsi="等线(中文正文)" w:cs="等线(中文正文)" w:eastAsia="等线(中文正文)"/>
          <w:b w:val="false"/>
          <w:i w:val="false"/>
          <w:sz w:val="20"/>
        </w:rPr>
        <w:t xml:space="preserve">收入 毛利率 现金流 合同 750 百万伏 交付 高压 回款 费用 套管 新能源 电网 投资 订单 履约 产能 绿色低碳 智慧工厂 间隔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在2022年上半年实现了53.74亿元的收入，净利润达到8.7亿元，同比增长22.87%，毛利率为29.7%，显示了良好的财务表现和有效的费用管控，期间费用率为9.88%。尽管经营活动产生的现金流为负，但回款力度加强。会计准则变更后，对关联方的坏账准备进行了调整。业务方面，收入和成本有积极变化，新签合同总额达93亿元，同比增加7.5%，其中高压类产品的合同额增长近10%。下半年，公司将重点加大技术储备和产能提升，积极拓展海外市场和新型电网建设项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公司上半年经营情况分享与财务分析</w:t>
      </w:r>
    </w:p>
    <w:p>
      <w:r>
        <w:rPr>
          <w:rFonts w:ascii="等线(中文正文)" w:hAnsi="等线(中文正文)" w:cs="等线(中文正文)" w:eastAsia="等线(中文正文)"/>
          <w:b w:val="false"/>
          <w:i w:val="false"/>
          <w:sz w:val="20"/>
        </w:rPr>
        <w:t>分享了公司上半年经营状况，包括收入、净利润、毛利率、费用管控及现金流分析。指出收入虽有降低，但净利润增长，毛利率提升，费用管控良好。现金流虽为负，但回款力度加强，主动付款保障供应链安全。会计政策变更影响应收账款规模，未来将根据实际情况调整。</w:t>
      </w:r>
    </w:p>
    <w:p>
      <w:r>
        <w:rPr>
          <w:rFonts w:ascii="等线(中文正文)" w:hAnsi="等线(中文正文)" w:cs="等线(中文正文)" w:eastAsia="等线(中文正文)"/>
          <w:b w:val="false"/>
          <w:i w:val="false"/>
          <w:sz w:val="20"/>
        </w:rPr>
        <w:t/>
      </w:r>
    </w:p>
    <w:p>
      <w:pPr>
        <w:pStyle w:val="ab"/>
        <w:numPr>
          <w:numId w:val="2"/>
        </w:numPr>
      </w:pPr>
      <w:r>
        <w:t>04:03 公司上半年业务分析与合同情况</w:t>
      </w:r>
    </w:p>
    <w:p>
      <w:r>
        <w:rPr>
          <w:rFonts w:ascii="等线(中文正文)" w:hAnsi="等线(中文正文)" w:cs="等线(中文正文)" w:eastAsia="等线(中文正文)"/>
          <w:b w:val="false"/>
          <w:i w:val="false"/>
          <w:sz w:val="20"/>
        </w:rPr>
        <w:t>对话围绕公司上半年业务分析展开，涵盖输配电设备、全生命周期业务及组件三大类。输配电设备收入44亿元，毛利率30.03%，高压产品表现突出。开关全生命周期业务收入4.5亿，毛利率18.54%。组件业务收入4.01亿，毛利率83.56%。上半年新签合同93亿，同比增长7.5%，其中高压类产品增长10%，配网业务基本持平，国际业务增长5%。整体毛利率提升，部分业务承压，但价格回升预示稳定趋势。</w:t>
      </w:r>
    </w:p>
    <w:p>
      <w:r>
        <w:rPr>
          <w:rFonts w:ascii="等线(中文正文)" w:hAnsi="等线(中文正文)" w:cs="等线(中文正文)" w:eastAsia="等线(中文正文)"/>
          <w:b w:val="false"/>
          <w:i w:val="false"/>
          <w:sz w:val="20"/>
        </w:rPr>
        <w:t/>
      </w:r>
    </w:p>
    <w:p>
      <w:pPr>
        <w:pStyle w:val="ab"/>
        <w:numPr>
          <w:numId w:val="3"/>
        </w:numPr>
      </w:pPr>
      <w:r>
        <w:t>09:06 上半年电力设备行业市场表现与公司业绩概览</w:t>
      </w:r>
    </w:p>
    <w:p>
      <w:r>
        <w:rPr>
          <w:rFonts w:ascii="等线(中文正文)" w:hAnsi="等线(中文正文)" w:cs="等线(中文正文)" w:eastAsia="等线(中文正文)"/>
          <w:b w:val="false"/>
          <w:i w:val="false"/>
          <w:sz w:val="20"/>
        </w:rPr>
        <w:t>上半年，电力设备行业市场表现稳健，国家电网租赁站投资达3100亿，同比增长12%。公司在高压设备招标中表现优异，中标金额显著，尤其是在直流项目和750产品领域，市场占有率高达60%以上。此外，公司产能持续提升，绿色低碳智慧工厂建设启动，预计28年底前投产，全面匹配新型电网建设需求。上半年交付重点产品增量明显，750产品间隔交付量从27个增至44个，百万福产品交付量也有所增加。</w:t>
      </w:r>
    </w:p>
    <w:p>
      <w:r>
        <w:rPr>
          <w:rFonts w:ascii="等线(中文正文)" w:hAnsi="等线(中文正文)" w:cs="等线(中文正文)" w:eastAsia="等线(中文正文)"/>
          <w:b w:val="false"/>
          <w:i w:val="false"/>
          <w:sz w:val="20"/>
        </w:rPr>
        <w:t/>
      </w:r>
    </w:p>
    <w:p>
      <w:pPr>
        <w:pStyle w:val="ab"/>
        <w:numPr>
          <w:numId w:val="4"/>
        </w:numPr>
      </w:pPr>
      <w:r>
        <w:t>15:17 新能源项目订单与交付情况分析</w:t>
      </w:r>
    </w:p>
    <w:p>
      <w:r>
        <w:rPr>
          <w:rFonts w:ascii="等线(中文正文)" w:hAnsi="等线(中文正文)" w:cs="等线(中文正文)" w:eastAsia="等线(中文正文)"/>
          <w:b w:val="false"/>
          <w:i w:val="false"/>
          <w:sz w:val="20"/>
        </w:rPr>
        <w:t>对话围绕新能源项目的订单结构、交付预期及价格毛利率水平展开。上半年，公司手握大量750百万伏项目订单，预计下半年交付量稳定，部分项目可能提前或延后。价格方面，近期招标项目单价略有下降但仍处于合理区间，毛利率受项目差异影响波动，公司正通过技术降本提升盈利能力。未来交付增长需视项目进展而定，整体展望乐观。</w:t>
      </w:r>
    </w:p>
    <w:p>
      <w:r>
        <w:rPr>
          <w:rFonts w:ascii="等线(中文正文)" w:hAnsi="等线(中文正文)" w:cs="等线(中文正文)" w:eastAsia="等线(中文正文)"/>
          <w:b w:val="false"/>
          <w:i w:val="false"/>
          <w:sz w:val="20"/>
        </w:rPr>
        <w:t/>
      </w:r>
    </w:p>
    <w:p>
      <w:pPr>
        <w:pStyle w:val="ab"/>
        <w:numPr>
          <w:numId w:val="5"/>
        </w:numPr>
      </w:pPr>
      <w:r>
        <w:t>24:34 2023下半年及2024年项目招标与交付展望</w:t>
      </w:r>
    </w:p>
    <w:p>
      <w:r>
        <w:rPr>
          <w:rFonts w:ascii="等线(中文正文)" w:hAnsi="等线(中文正文)" w:cs="等线(中文正文)" w:eastAsia="等线(中文正文)"/>
          <w:b w:val="false"/>
          <w:i w:val="false"/>
          <w:sz w:val="20"/>
        </w:rPr>
        <w:t>对话围绕2023年下半年及2024年的项目招标趋势、交付节奏和整体经营增长预期展开讨论。预计2023年下半年招标金额将保持增长，2024年交付量有望提升，基于当前订单储备和项目进度。同时，常规产品线的下半年交付量预计将逐步恢复，整体经营状况符合年初预算预期。</w:t>
      </w:r>
    </w:p>
    <w:p>
      <w:r>
        <w:rPr>
          <w:rFonts w:ascii="等线(中文正文)" w:hAnsi="等线(中文正文)" w:cs="等线(中文正文)" w:eastAsia="等线(中文正文)"/>
          <w:b w:val="false"/>
          <w:i w:val="false"/>
          <w:sz w:val="20"/>
        </w:rPr>
        <w:t/>
      </w:r>
    </w:p>
    <w:p>
      <w:pPr>
        <w:pStyle w:val="ab"/>
        <w:numPr>
          <w:numId w:val="6"/>
        </w:numPr>
      </w:pPr>
      <w:r>
        <w:t>29:22 550及以下产品交付量与GIL项目进展探讨</w:t>
      </w:r>
    </w:p>
    <w:p>
      <w:r>
        <w:rPr>
          <w:rFonts w:ascii="等线(中文正文)" w:hAnsi="等线(中文正文)" w:cs="等线(中文正文)" w:eastAsia="等线(中文正文)"/>
          <w:b w:val="false"/>
          <w:i w:val="false"/>
          <w:sz w:val="20"/>
        </w:rPr>
        <w:t>讨论了550及以下产品全年交付量持平但下半年有望提升的趋势，以及亚夏GIL项目的推进情况和市场空间，同时分析了百万伏产品价格波动原因，包括项目需求和技术要求差异。</w:t>
      </w:r>
    </w:p>
    <w:p>
      <w:r>
        <w:rPr>
          <w:rFonts w:ascii="等线(中文正文)" w:hAnsi="等线(中文正文)" w:cs="等线(中文正文)" w:eastAsia="等线(中文正文)"/>
          <w:b w:val="false"/>
          <w:i w:val="false"/>
          <w:sz w:val="20"/>
        </w:rPr>
        <w:t/>
      </w:r>
    </w:p>
    <w:p>
      <w:pPr>
        <w:pStyle w:val="ab"/>
        <w:numPr>
          <w:numId w:val="7"/>
        </w:numPr>
      </w:pPr>
      <w:r>
        <w:t>35:16 配网业务与算力中心发展定位探讨</w:t>
      </w:r>
    </w:p>
    <w:p>
      <w:r>
        <w:rPr>
          <w:rFonts w:ascii="等线(中文正文)" w:hAnsi="等线(中文正文)" w:cs="等线(中文正文)" w:eastAsia="等线(中文正文)"/>
          <w:b w:val="false"/>
          <w:i w:val="false"/>
          <w:sz w:val="20"/>
        </w:rPr>
        <w:t>对话围绕公司未来在配网业务和算力中心领域的定位展开。配网业务被视为重要发展方向，公司计划通过技术储备和市场拓展提升业绩。算力中心虽起步较晚，但被视为未来布局的关键领域，正进行SSP研发，期待通过海外业绩为未来技术布局打下基础。</w:t>
      </w:r>
    </w:p>
    <w:p>
      <w:r>
        <w:rPr>
          <w:rFonts w:ascii="等线(中文正文)" w:hAnsi="等线(中文正文)" w:cs="等线(中文正文)" w:eastAsia="等线(中文正文)"/>
          <w:b w:val="false"/>
          <w:i w:val="false"/>
          <w:sz w:val="20"/>
        </w:rPr>
        <w:t/>
      </w:r>
    </w:p>
    <w:p>
      <w:pPr>
        <w:pStyle w:val="ab"/>
        <w:numPr>
          <w:numId w:val="8"/>
        </w:numPr>
      </w:pPr>
      <w:r>
        <w:t>38:59 投资者询问配网业务及毛利率情况</w:t>
      </w:r>
    </w:p>
    <w:p>
      <w:r>
        <w:rPr>
          <w:rFonts w:ascii="等线(中文正文)" w:hAnsi="等线(中文正文)" w:cs="等线(中文正文)" w:eastAsia="等线(中文正文)"/>
          <w:b w:val="false"/>
          <w:i w:val="false"/>
          <w:sz w:val="20"/>
        </w:rPr>
        <w:t>投资者询问了上半年高压和低压配网业务的收入拆分及增速，以及中压配网的毛利率情况。管理层回应称，收入以高压为主，毛利率提升得益于高压业务的产品交付占比增加，但配网业务承压，价格影响导致毛利率略有下降。对于全年综合毛利率，管理层预计将比去年有所提升，下半年交付量增加将有助于毛利率的稳定和提升。</w:t>
      </w:r>
    </w:p>
    <w:p>
      <w:r>
        <w:rPr>
          <w:rFonts w:ascii="等线(中文正文)" w:hAnsi="等线(中文正文)" w:cs="等线(中文正文)" w:eastAsia="等线(中文正文)"/>
          <w:b w:val="false"/>
          <w:i w:val="false"/>
          <w:sz w:val="20"/>
        </w:rPr>
        <w:t/>
      </w:r>
    </w:p>
    <w:p>
      <w:pPr>
        <w:pStyle w:val="ab"/>
        <w:numPr>
          <w:numId w:val="9"/>
        </w:numPr>
      </w:pPr>
      <w:r>
        <w:t>43:22 海外单机业务拓展与未来战略</w:t>
      </w:r>
    </w:p>
    <w:p>
      <w:r>
        <w:rPr>
          <w:rFonts w:ascii="等线(中文正文)" w:hAnsi="等线(中文正文)" w:cs="等线(中文正文)" w:eastAsia="等线(中文正文)"/>
          <w:b w:val="false"/>
          <w:i w:val="false"/>
          <w:sz w:val="20"/>
        </w:rPr>
        <w:t>对话围绕海外单机业务展开，提及上半年海外单机订单增长，收入达0.9亿，主要以开关业务为主，涉及直流专用套管等新产品。市场覆盖一带一路沿线国家及南美、非洲等地，正不断拓展。未来战略将依托总部国际业务发展，强化品牌影响力与项目谈判能力，以单机设备为核心，规划海外业务布局。</w:t>
      </w:r>
    </w:p>
    <w:p>
      <w:r>
        <w:rPr>
          <w:rFonts w:ascii="等线(中文正文)" w:hAnsi="等线(中文正文)" w:cs="等线(中文正文)" w:eastAsia="等线(中文正文)"/>
          <w:b w:val="false"/>
          <w:i w:val="false"/>
          <w:sz w:val="20"/>
        </w:rPr>
        <w:t/>
      </w:r>
    </w:p>
    <w:p>
      <w:pPr>
        <w:pStyle w:val="ab"/>
        <w:numPr>
          <w:numId w:val="10"/>
        </w:numPr>
      </w:pPr>
      <w:r>
        <w:t>47:53 电力项目核准与组件业务展望</w:t>
      </w:r>
    </w:p>
    <w:p>
      <w:r>
        <w:rPr>
          <w:rFonts w:ascii="等线(中文正文)" w:hAnsi="等线(中文正文)" w:cs="等线(中文正文)" w:eastAsia="等线(中文正文)"/>
          <w:b w:val="false"/>
          <w:i w:val="false"/>
          <w:sz w:val="20"/>
        </w:rPr>
        <w:t>对话围绕电力项目的核准情况、招标订单预期以及组件业务的高毛利率展开。提及了干将向南、南阳长治等项目核准进展，讨论了驻马店项目的交付情况，并对组件业务的未来收入和盈利能力进行了展望，强调了国内外需求潜力及业务拓展方向。</w:t>
      </w:r>
    </w:p>
    <w:p>
      <w:r>
        <w:rPr>
          <w:rFonts w:ascii="等线(中文正文)" w:hAnsi="等线(中文正文)" w:cs="等线(中文正文)" w:eastAsia="等线(中文正文)"/>
          <w:b w:val="false"/>
          <w:i w:val="false"/>
          <w:sz w:val="20"/>
        </w:rPr>
        <w:t/>
      </w:r>
    </w:p>
    <w:p>
      <w:pPr>
        <w:pStyle w:val="ab"/>
        <w:numPr>
          <w:numId w:val="11"/>
        </w:numPr>
      </w:pPr>
      <w:r>
        <w:t>52:25 配网业务毛利率与铜价影响分析</w:t>
      </w:r>
    </w:p>
    <w:p>
      <w:r>
        <w:rPr>
          <w:rFonts w:ascii="等线(中文正文)" w:hAnsi="等线(中文正文)" w:cs="等线(中文正文)" w:eastAsia="等线(中文正文)"/>
          <w:b w:val="false"/>
          <w:i w:val="false"/>
          <w:sz w:val="20"/>
        </w:rPr>
        <w:t>对话围绕配网业务毛利率的现状及未来趋势展开，讨论了铜价上升对毛利率的影响，以及通过技术革新和管理变革提升毛利率的策略。尽管当前毛利率受到一定压力，但企业正努力通过内部优化应对挑战，目标是保持或提升毛利率至较高水平。</w:t>
      </w:r>
    </w:p>
    <w:p>
      <w:r>
        <w:rPr>
          <w:rFonts w:ascii="等线(中文正文)" w:hAnsi="等线(中文正文)" w:cs="等线(中文正文)" w:eastAsia="等线(中文正文)"/>
          <w:b w:val="false"/>
          <w:i w:val="false"/>
          <w:sz w:val="20"/>
        </w:rPr>
        <w:t/>
      </w:r>
    </w:p>
    <w:p>
      <w:pPr>
        <w:pStyle w:val="ab"/>
        <w:numPr>
          <w:numId w:val="12"/>
        </w:numPr>
      </w:pPr>
      <w:r>
        <w:t>57:04 2023年上半年订单增速分析及网内外市场策略</w:t>
      </w:r>
    </w:p>
    <w:p>
      <w:r>
        <w:rPr>
          <w:rFonts w:ascii="等线(中文正文)" w:hAnsi="等线(中文正文)" w:cs="等线(中文正文)" w:eastAsia="等线(中文正文)"/>
          <w:b w:val="false"/>
          <w:i w:val="false"/>
          <w:sz w:val="20"/>
        </w:rPr>
        <w:t>讨论了2023年上半年订单增速，尤其是网内与网外市场分布，指出网内市场为主，网外市场增速放缓，受国内外竞争影响。提及550以下产品中标率提升，但交付存在延迟，下半年将调整交付节奏。预计750千伏产品交付量高位，但具体数量待定，提及阿坝项目下半年交付。</w:t>
      </w:r>
    </w:p>
    <w:p>
      <w:r>
        <w:rPr>
          <w:rFonts w:ascii="等线(中文正文)" w:hAnsi="等线(中文正文)" w:cs="等线(中文正文)" w:eastAsia="等线(中文正文)"/>
          <w:b w:val="false"/>
          <w:i w:val="false"/>
          <w:sz w:val="20"/>
        </w:rPr>
        <w:t/>
      </w:r>
    </w:p>
    <w:p>
      <w:pPr>
        <w:pStyle w:val="ab"/>
        <w:numPr>
          <w:numId w:val="13"/>
        </w:numPr>
      </w:pPr>
      <w:r>
        <w:t>01:02:18 配网修复与GIL产品市场前景讨论</w:t>
      </w:r>
    </w:p>
    <w:p>
      <w:r>
        <w:rPr>
          <w:rFonts w:ascii="等线(中文正文)" w:hAnsi="等线(中文正文)" w:cs="等线(中文正文)" w:eastAsia="等线(中文正文)"/>
          <w:b w:val="false"/>
          <w:i w:val="false"/>
          <w:sz w:val="20"/>
        </w:rPr>
        <w:t>对话围绕配网价格修复后的财务报表影响及毛利率增长预期展开，同时探讨了GIL产品的市场应用前景和技术储备，强调了技术实力和市场信心，但指出需等待具体项目招标以评估未来市场格局。</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首先回顾了公司2022年上半年的经营状况，包括收入、归母净利润、毛利率、期间费用和现金流等关键指标。上半年，公司实现了53.74亿元的收入，归母净利润达到8.7亿元，同比增长22.87%，毛利率为29.7%，显示了良好的盈利能力和成本控制。尽管经营活动产生的现金流为负，但他强调了公司加强回款力度和履行社会责任的努力，通过详细分析现金流状况，说明现金支付规模的提升是为了保障中小企业权益。
此外，他讨论了公司因会计准则变更而采取的措施及其影响，以及公司在高压、配网和国际市场订单的增长情况，反映了公司业务的稳健发展。对未来，他展望了公司的发展战略，包括加强配网业务定位、优化海外市场策略以及在新型电力系统下的技术布局，强调了公司对深化自动化和人性化生产能力的重视，以适应行业变革和市场需求。
他通过这次总结，全面展示了公司的经营成果和未来发展方向，表达了对公司业绩增长和市场竞争力提升的坚定信心。</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问：请田总先介绍一下公司2026年上半年的整体经营情况。</w:t>
      </w:r>
    </w:p>
    <w:p>
      <w:r>
        <w:rPr>
          <w:rFonts w:ascii="等线(中文正文)" w:hAnsi="等线(中文正文)" w:cs="等线(中文正文)" w:eastAsia="等线(中文正文)"/>
          <w:b w:val="false"/>
          <w:i w:val="false"/>
          <w:sz w:val="20"/>
        </w:rPr>
        <w:t>发言人1 答：好的，上半年公司累计实现收入53.74亿元，略有降低；归母净利润为8.7亿元，同比增长22.87%；毛利率达到29.7%，比同期提升5.03个百分点。此外，提前费用合计5.31亿元，同比减少；期间费用率为9.88%，体现了良好的费用管控情况。</w:t>
      </w:r>
    </w:p>
    <w:p>
      <w:r>
        <w:rPr>
          <w:rFonts w:ascii="等线(中文正文)" w:hAnsi="等线(中文正文)" w:cs="等线(中文正文)" w:eastAsia="等线(中文正文)"/>
          <w:b w:val="false"/>
          <w:i w:val="false"/>
          <w:sz w:val="20"/>
        </w:rPr>
        <w:t/>
      </w:r>
    </w:p>
    <w:p>
      <w:pPr>
        <w:pStyle w:val="ab"/>
      </w:pPr>
      <w:r>
        <w:t>发言人1 问：现金流方面是如何表现的？</w:t>
      </w:r>
    </w:p>
    <w:p>
      <w:r>
        <w:rPr>
          <w:rFonts w:ascii="等线(中文正文)" w:hAnsi="等线(中文正文)" w:cs="等线(中文正文)" w:eastAsia="等线(中文正文)"/>
          <w:b w:val="false"/>
          <w:i w:val="false"/>
          <w:sz w:val="20"/>
        </w:rPr>
        <w:t>发言人1 答：经营活动产生的现金流为负数，但实际上回款力度在不断加强。上半年回款72亿，同期为59亿；现金流出69亿，比同期63亿有所增加，这主要是公司主动付款以保障供应链安全和强化对中小企业的权益保障。</w:t>
      </w:r>
    </w:p>
    <w:p>
      <w:r>
        <w:rPr>
          <w:rFonts w:ascii="等线(中文正文)" w:hAnsi="等线(中文正文)" w:cs="等线(中文正文)" w:eastAsia="等线(中文正文)"/>
          <w:b w:val="false"/>
          <w:i w:val="false"/>
          <w:sz w:val="20"/>
        </w:rPr>
        <w:t/>
      </w:r>
    </w:p>
    <w:p>
      <w:pPr>
        <w:pStyle w:val="ab"/>
      </w:pPr>
      <w:r>
        <w:t>发言人1 问：公司今年进行了什么样的会计政策变更？</w:t>
      </w:r>
    </w:p>
    <w:p>
      <w:r>
        <w:rPr>
          <w:rFonts w:ascii="等线(中文正文)" w:hAnsi="等线(中文正文)" w:cs="等线(中文正文)" w:eastAsia="等线(中文正文)"/>
          <w:b w:val="false"/>
          <w:i w:val="false"/>
          <w:sz w:val="20"/>
        </w:rPr>
        <w:t>发言人1 答：公司今年根据应收款项的信用风险特征和组合划分方式，基于谨慎性原则，对关联方的坏账准备进行了调整，大概涉及七千多万。这次变更不影响主营业务收入规模，未来会根据实际情况进行相应调整。</w:t>
      </w:r>
    </w:p>
    <w:p>
      <w:r>
        <w:rPr>
          <w:rFonts w:ascii="等线(中文正文)" w:hAnsi="等线(中文正文)" w:cs="等线(中文正文)" w:eastAsia="等线(中文正文)"/>
          <w:b w:val="false"/>
          <w:i w:val="false"/>
          <w:sz w:val="20"/>
        </w:rPr>
        <w:t/>
      </w:r>
    </w:p>
    <w:p>
      <w:pPr>
        <w:pStyle w:val="ab"/>
      </w:pPr>
      <w:r>
        <w:t>发言人1 问：从业务分析角度看，有哪些主要关注点？</w:t>
      </w:r>
    </w:p>
    <w:p>
      <w:r>
        <w:rPr>
          <w:rFonts w:ascii="等线(中文正文)" w:hAnsi="等线(中文正文)" w:cs="等线(中文正文)" w:eastAsia="等线(中文正文)"/>
          <w:b w:val="false"/>
          <w:i w:val="false"/>
          <w:sz w:val="20"/>
        </w:rPr>
        <w:t>发言人1 答：关注点集中在瀑布业务板块，特别是输电线及控制设备安装全生命周期和组部件两大类。其中，输配电设备收入达44亿元，毛利率为30.03%，主要来自高压产品，尤其是750kV设备交付量同比增加显著。开关全生命周期业务实现收入4.5亿元，毛利率18.54%，检修业务和背景基站业务表现不错。</w:t>
      </w:r>
    </w:p>
    <w:p>
      <w:r>
        <w:rPr>
          <w:rFonts w:ascii="等线(中文正文)" w:hAnsi="等线(中文正文)" w:cs="等线(中文正文)" w:eastAsia="等线(中文正文)"/>
          <w:b w:val="false"/>
          <w:i w:val="false"/>
          <w:sz w:val="20"/>
        </w:rPr>
        <w:t/>
      </w:r>
    </w:p>
    <w:p>
      <w:pPr>
        <w:pStyle w:val="ab"/>
      </w:pPr>
      <w:r>
        <w:t>发言人1 问：关于合同情况怎么样？</w:t>
      </w:r>
    </w:p>
    <w:p>
      <w:r>
        <w:rPr>
          <w:rFonts w:ascii="等线(中文正文)" w:hAnsi="等线(中文正文)" w:cs="等线(中文正文)" w:eastAsia="等线(中文正文)"/>
          <w:b w:val="false"/>
          <w:i w:val="false"/>
          <w:sz w:val="20"/>
        </w:rPr>
        <w:t>发言人1 答：上半年新签合同总额为93亿，同比增长约7.5%。其中高压类产品约74亿，同比增长近10%；配网板块为17.5亿，基本持平；国际业务为2.1亿，同比增长5%。截至6月末，待售合同储量达到159亿，其中高压类合同与市场需求紧密相关，且国家电网等投资保持两位数以上增长，公司在多个重大项目中取得了良好成绩。</w:t>
      </w:r>
    </w:p>
    <w:p>
      <w:r>
        <w:rPr>
          <w:rFonts w:ascii="等线(中文正文)" w:hAnsi="等线(中文正文)" w:cs="等线(中文正文)" w:eastAsia="等线(中文正文)"/>
          <w:b w:val="false"/>
          <w:i w:val="false"/>
          <w:sz w:val="20"/>
        </w:rPr>
        <w:t/>
      </w:r>
    </w:p>
    <w:p>
      <w:pPr>
        <w:pStyle w:val="ab"/>
      </w:pPr>
      <w:r>
        <w:t>发言人1 问：在手的项目中，订单结构上750百万伏的间隔数量有多少？以及对于下半年的交付展望是怎样的？</w:t>
      </w:r>
    </w:p>
    <w:p>
      <w:r>
        <w:rPr>
          <w:rFonts w:ascii="等线(中文正文)" w:hAnsi="等线(中文正文)" w:cs="等线(中文正文)" w:eastAsia="等线(中文正文)"/>
          <w:b w:val="false"/>
          <w:i w:val="false"/>
          <w:sz w:val="20"/>
        </w:rPr>
        <w:t>发言人1 答：在手的订单中，百万伏间隔数量较多。结合已中标但未履约的第二批28个间隔，上半年在手的万福订单还有55个间隔未交付。此外，还包括其他项目如UV、大型、二坝、驻马店扩建、电厂扩建等，总共约有170个间隔需要在未来履约。对于下半年的交付预期，年初预计能完成大约15个间隔，实际可能还会更多，尤其是有希望交付750的项目。尽管部分项目可能会有推迟或提前的情况，整体交付预计将在高位，但具体数据还需在下半年进一步跟踪确定。</w:t>
      </w:r>
    </w:p>
    <w:p>
      <w:r>
        <w:rPr>
          <w:rFonts w:ascii="等线(中文正文)" w:hAnsi="等线(中文正文)" w:cs="等线(中文正文)" w:eastAsia="等线(中文正文)"/>
          <w:b w:val="false"/>
          <w:i w:val="false"/>
          <w:sz w:val="20"/>
        </w:rPr>
        <w:t/>
      </w:r>
    </w:p>
    <w:p>
      <w:pPr>
        <w:pStyle w:val="ab"/>
      </w:pPr>
      <w:r>
        <w:t>发言人1 问：上半年招标量翻倍增长，那么下半年的交付增长是否具有确定性？明年交付的情况又如何呢？</w:t>
      </w:r>
    </w:p>
    <w:p>
      <w:r>
        <w:rPr>
          <w:rFonts w:ascii="等线(中文正文)" w:hAnsi="等线(中文正文)" w:cs="等线(中文正文)" w:eastAsia="等线(中文正文)"/>
          <w:b w:val="false"/>
          <w:i w:val="false"/>
          <w:sz w:val="20"/>
        </w:rPr>
        <w:t>发言人1 答：下半年交付增长的确定性相对较高，因为今年招标量较大，将为明年带来较多的交付任务。明年综合CS项目等百万服务项目是确定要交付的，同时也会根据今年的整体交付情况考虑明年会有哪些项目进行结转。目前还不能明确具体的交付量，但整体趋势向好。</w:t>
      </w:r>
    </w:p>
    <w:p>
      <w:r>
        <w:rPr>
          <w:rFonts w:ascii="等线(中文正文)" w:hAnsi="等线(中文正文)" w:cs="等线(中文正文)" w:eastAsia="等线(中文正文)"/>
          <w:b w:val="false"/>
          <w:i w:val="false"/>
          <w:sz w:val="20"/>
        </w:rPr>
        <w:t/>
      </w:r>
    </w:p>
    <w:p>
      <w:pPr>
        <w:pStyle w:val="ab"/>
      </w:pPr>
      <w:r>
        <w:t>发言人1 问：目前阶段，产品的价格和毛利率水平方便分享吗？</w:t>
      </w:r>
    </w:p>
    <w:p>
      <w:r>
        <w:rPr>
          <w:rFonts w:ascii="等线(中文正文)" w:hAnsi="等线(中文正文)" w:cs="等线(中文正文)" w:eastAsia="等线(中文正文)"/>
          <w:b w:val="false"/>
          <w:i w:val="false"/>
          <w:sz w:val="20"/>
        </w:rPr>
        <w:t>发言人1 答：价格方面，根据历史公开数据统计，前三年产品价格相对稳定，平均在7400元左右。近期一批产品的价格有所降低，平均在7700多至7900元左右，但仍处于合理波动区间。由于不同项目的技术要求不同，每个产品的价格会有所差异，但整体看，产品价格保持相对合理且略有上升趋势。毛利率水平方面，不同项目间会有差异波动，一般通过全年平均毛利来看，目前整体毛利水平没有突破之前的低价下限，且内部一直在做提质增效、技术降本等工作，对毛利率利润水平提升有一定贡献。</w:t>
      </w:r>
    </w:p>
    <w:p>
      <w:r>
        <w:rPr>
          <w:rFonts w:ascii="等线(中文正文)" w:hAnsi="等线(中文正文)" w:cs="等线(中文正文)" w:eastAsia="等线(中文正文)"/>
          <w:b w:val="false"/>
          <w:i w:val="false"/>
          <w:sz w:val="20"/>
        </w:rPr>
        <w:t/>
      </w:r>
    </w:p>
    <w:p>
      <w:pPr>
        <w:pStyle w:val="ab"/>
      </w:pPr>
      <w:r>
        <w:t>发言人1 问：招标金额上半年有翻倍增长，下半年招标节奏和交付节奏如何？</w:t>
      </w:r>
    </w:p>
    <w:p>
      <w:r>
        <w:rPr>
          <w:rFonts w:ascii="等线(中文正文)" w:hAnsi="等线(中文正文)" w:cs="等线(中文正文)" w:eastAsia="等线(中文正文)"/>
          <w:b w:val="false"/>
          <w:i w:val="false"/>
          <w:sz w:val="20"/>
        </w:rPr>
        <w:t>发言人1 答：下半年预计会有较多的项目进行招标和交付，特别是在十四五规划的推动下，像南疆南江四川、三吉林到四川、青海等地的直流项目可能很快会有进展。从目前储备的项目来看，下半年应该会有不少招标和交付的事情发生。至于具体哪些项目能交付以及交付多少，还需要进一步观察，大概会在年底或明年年初根据项目进度来确定。</w:t>
      </w:r>
    </w:p>
    <w:p>
      <w:r>
        <w:rPr>
          <w:rFonts w:ascii="等线(中文正文)" w:hAnsi="等线(中文正文)" w:cs="等线(中文正文)" w:eastAsia="等线(中文正文)"/>
          <w:b w:val="false"/>
          <w:i w:val="false"/>
          <w:sz w:val="20"/>
        </w:rPr>
        <w:t/>
      </w:r>
    </w:p>
    <w:p>
      <w:pPr>
        <w:pStyle w:val="ab"/>
      </w:pPr>
      <w:r>
        <w:t>发言人1 问：刚刚领导提到550及以下的产品下半年交付量会起来，如果从全年来看，今年550及以下交付量与去年相比是什么样的变动趋势？是持平还是有下降？</w:t>
      </w:r>
    </w:p>
    <w:p>
      <w:r>
        <w:rPr>
          <w:rFonts w:ascii="等线(中文正文)" w:hAnsi="等线(中文正文)" w:cs="等线(中文正文)" w:eastAsia="等线(中文正文)"/>
          <w:b w:val="false"/>
          <w:i w:val="false"/>
          <w:sz w:val="20"/>
        </w:rPr>
        <w:t>发言人1 答：目前来看，550及以下产品的交付量基本上是持平的状态。由于上半年受到天气、自然环境等问题的影响，导致项目交付有所延迟，但随着上游风险的下降和合同负债规模的增加，很多产品已经准备就绪，只待客户项目进度确定后进行交付。预计下半年交付量会有所提升。</w:t>
      </w:r>
    </w:p>
    <w:p>
      <w:r>
        <w:rPr>
          <w:rFonts w:ascii="等线(中文正文)" w:hAnsi="等线(中文正文)" w:cs="等线(中文正文)" w:eastAsia="等线(中文正文)"/>
          <w:b w:val="false"/>
          <w:i w:val="false"/>
          <w:sz w:val="20"/>
        </w:rPr>
        <w:t/>
      </w:r>
    </w:p>
    <w:p>
      <w:pPr>
        <w:pStyle w:val="ab"/>
      </w:pPr>
      <w:r>
        <w:t>发言人1 问：亚夏那边的管廊GIL项目目前的推进进度如何？包括什么时候开始招标？整个市场需求空间以及可能达到的市占率是多少？</w:t>
      </w:r>
    </w:p>
    <w:p>
      <w:r>
        <w:rPr>
          <w:rFonts w:ascii="等线(中文正文)" w:hAnsi="等线(中文正文)" w:cs="等线(中文正文)" w:eastAsia="等线(中文正文)"/>
          <w:b w:val="false"/>
          <w:i w:val="false"/>
          <w:sz w:val="20"/>
        </w:rPr>
        <w:t>发言人1 答：公司对于亚夏管廊GIL项目的具体信息了解有限，主要是从行业新闻和市场上获取的部分信息，作为央企，该项目保密要求较高。目前只知道该项目可能会不断建设并招标，但具体时间难以判断。</w:t>
      </w:r>
    </w:p>
    <w:p>
      <w:r>
        <w:rPr>
          <w:rFonts w:ascii="等线(中文正文)" w:hAnsi="等线(中文正文)" w:cs="等线(中文正文)" w:eastAsia="等线(中文正文)"/>
          <w:b w:val="false"/>
          <w:i w:val="false"/>
          <w:sz w:val="20"/>
        </w:rPr>
        <w:t/>
      </w:r>
    </w:p>
    <w:p>
      <w:pPr>
        <w:pStyle w:val="ab"/>
      </w:pPr>
      <w:r>
        <w:t>发言人1 问：对于LPL项目的技术储备和技术支撑方面的情况可以分享一下吗？</w:t>
      </w:r>
    </w:p>
    <w:p>
      <w:r>
        <w:rPr>
          <w:rFonts w:ascii="等线(中文正文)" w:hAnsi="等线(中文正文)" w:cs="等线(中文正文)" w:eastAsia="等线(中文正文)"/>
          <w:b w:val="false"/>
          <w:i w:val="false"/>
          <w:sz w:val="20"/>
        </w:rPr>
        <w:t>发言人1 答：公司对LPL项目的储备和技术支撑工作已做好充分准备，包括技术储备和产能提升。一旦项目到来，公司将积极应对并做好保障工作。</w:t>
      </w:r>
    </w:p>
    <w:p>
      <w:r>
        <w:rPr>
          <w:rFonts w:ascii="等线(中文正文)" w:hAnsi="等线(中文正文)" w:cs="等线(中文正文)" w:eastAsia="等线(中文正文)"/>
          <w:b w:val="false"/>
          <w:i w:val="false"/>
          <w:sz w:val="20"/>
        </w:rPr>
        <w:t/>
      </w:r>
    </w:p>
    <w:p>
      <w:pPr>
        <w:pStyle w:val="ab"/>
      </w:pPr>
      <w:r>
        <w:t>发言人1 问：百万伏价格波动的原因是什么？是由于不同的应用场景技术要求差异还是同一运行环境下同等级别产品的价格出现波动？</w:t>
      </w:r>
    </w:p>
    <w:p>
      <w:r>
        <w:rPr>
          <w:rFonts w:ascii="等线(中文正文)" w:hAnsi="等线(中文正文)" w:cs="等线(中文正文)" w:eastAsia="等线(中文正文)"/>
          <w:b w:val="false"/>
          <w:i w:val="false"/>
          <w:sz w:val="20"/>
        </w:rPr>
        <w:t>发言人1 答：百万伏价格波动可能源于两个方面：一是每个项目的具体要求和技术难度不同，例如阿坝项目因高海拔环境和技术难度高导致价格较高；二是批次招标后的价格趋势变化，需进一步观察市场压力及招标情况后再做判断。</w:t>
      </w:r>
    </w:p>
    <w:p>
      <w:r>
        <w:rPr>
          <w:rFonts w:ascii="等线(中文正文)" w:hAnsi="等线(中文正文)" w:cs="等线(中文正文)" w:eastAsia="等线(中文正文)"/>
          <w:b w:val="false"/>
          <w:i w:val="false"/>
          <w:sz w:val="20"/>
        </w:rPr>
        <w:t/>
      </w:r>
    </w:p>
    <w:p>
      <w:pPr>
        <w:pStyle w:val="ab"/>
      </w:pPr>
      <w:r>
        <w:t>发言人1 问：未来对于配网业务在公司整体布局中的定位是什么样的？</w:t>
      </w:r>
    </w:p>
    <w:p>
      <w:r>
        <w:rPr>
          <w:rFonts w:ascii="等线(中文正文)" w:hAnsi="等线(中文正文)" w:cs="等线(中文正文)" w:eastAsia="等线(中文正文)"/>
          <w:b w:val="false"/>
          <w:i w:val="false"/>
          <w:sz w:val="20"/>
        </w:rPr>
        <w:t>发言人1 答：配网业务仍将是公司的第二大核心业务，虽然电网业务是当前的核心，但未来配网业务仍有巨大的发展空间。公司将不断提升配网相关产品的业绩和技术储备，拓展市场，努力将其做得更好。</w:t>
      </w:r>
    </w:p>
    <w:p>
      <w:r>
        <w:rPr>
          <w:rFonts w:ascii="等线(中文正文)" w:hAnsi="等线(中文正文)" w:cs="等线(中文正文)" w:eastAsia="等线(中文正文)"/>
          <w:b w:val="false"/>
          <w:i w:val="false"/>
          <w:sz w:val="20"/>
        </w:rPr>
        <w:t/>
      </w:r>
    </w:p>
    <w:p>
      <w:pPr>
        <w:pStyle w:val="ab"/>
      </w:pPr>
      <w:r>
        <w:t>发言人1 问：目前公司在算力中心方面是否有订单或成熟客户，是否处于即将落地阶段？</w:t>
      </w:r>
    </w:p>
    <w:p>
      <w:r>
        <w:rPr>
          <w:rFonts w:ascii="等线(中文正文)" w:hAnsi="等线(中文正文)" w:cs="等线(中文正文)" w:eastAsia="等线(中文正文)"/>
          <w:b w:val="false"/>
          <w:i w:val="false"/>
          <w:sz w:val="20"/>
        </w:rPr>
        <w:t>发言人1 答：公司在算力中心领域起步相对较晚，目前SSP还在研发阶段，暂无成熟订单或客户。尽管如此，公司已认识到这是一个未来发展方向，并积极布局相关技术研发，以适应行业发展趋势。</w:t>
      </w:r>
    </w:p>
    <w:p>
      <w:r>
        <w:rPr>
          <w:rFonts w:ascii="等线(中文正文)" w:hAnsi="等线(中文正文)" w:cs="等线(中文正文)" w:eastAsia="等线(中文正文)"/>
          <w:b w:val="false"/>
          <w:i w:val="false"/>
          <w:sz w:val="20"/>
        </w:rPr>
        <w:t/>
      </w:r>
    </w:p>
    <w:p>
      <w:pPr>
        <w:pStyle w:val="ab"/>
      </w:pPr>
      <w:r>
        <w:t>发言人1 问：今年上半年，我们的综合毛利率是怎样的情况？您指的是全年的综合毛利率，是否有所提升？对于下半年的交付情况以及整体综合毛利率的预期是怎样的？</w:t>
      </w:r>
    </w:p>
    <w:p>
      <w:r>
        <w:rPr>
          <w:rFonts w:ascii="等线(中文正文)" w:hAnsi="等线(中文正文)" w:cs="等线(中文正文)" w:eastAsia="等线(中文正文)"/>
          <w:b w:val="false"/>
          <w:i w:val="false"/>
          <w:sz w:val="20"/>
        </w:rPr>
        <w:t>发言人1 答：是的，根据去年同期数据，我们争取在今年全年的综合毛利率上实现比去年更高的水平。下半年随着常规产品的交付量增加，综合毛利率会相对平均一些，但全年来看，我们争取能够比去年有提升。</w:t>
      </w:r>
    </w:p>
    <w:p>
      <w:r>
        <w:rPr>
          <w:rFonts w:ascii="等线(中文正文)" w:hAnsi="等线(中文正文)" w:cs="等线(中文正文)" w:eastAsia="等线(中文正文)"/>
          <w:b w:val="false"/>
          <w:i w:val="false"/>
          <w:sz w:val="20"/>
        </w:rPr>
        <w:t/>
      </w:r>
    </w:p>
    <w:p>
      <w:pPr>
        <w:pStyle w:val="ab"/>
      </w:pPr>
      <w:r>
        <w:t>发言人1 问：关于国内交流项目的进展和预期情况如何？</w:t>
      </w:r>
    </w:p>
    <w:p>
      <w:r>
        <w:rPr>
          <w:rFonts w:ascii="等线(中文正文)" w:hAnsi="等线(中文正文)" w:cs="等线(中文正文)" w:eastAsia="等线(中文正文)"/>
          <w:b w:val="false"/>
          <w:i w:val="false"/>
          <w:sz w:val="20"/>
        </w:rPr>
        <w:t>发言人1 答：目前看到一些项目如干将向南项目已获得核准，但具体的交流项目落地情况还需等待实际的核准结果。对于储备项目，应该还是有很多的，浙江等地也有项目储备。</w:t>
      </w:r>
    </w:p>
    <w:p>
      <w:r>
        <w:rPr>
          <w:rFonts w:ascii="等线(中文正文)" w:hAnsi="等线(中文正文)" w:cs="等线(中文正文)" w:eastAsia="等线(中文正文)"/>
          <w:b w:val="false"/>
          <w:i w:val="false"/>
          <w:sz w:val="20"/>
        </w:rPr>
        <w:t/>
      </w:r>
    </w:p>
    <w:p>
      <w:pPr>
        <w:pStyle w:val="ab"/>
      </w:pPr>
      <w:r>
        <w:t>发言人1 问：对于驻马店项目的交付计划和可能性如何？</w:t>
      </w:r>
    </w:p>
    <w:p>
      <w:r>
        <w:rPr>
          <w:rFonts w:ascii="等线(中文正文)" w:hAnsi="等线(中文正文)" w:cs="等线(中文正文)" w:eastAsia="等线(中文正文)"/>
          <w:b w:val="false"/>
          <w:i w:val="false"/>
          <w:sz w:val="20"/>
        </w:rPr>
        <w:t>发言人1 答：驻马店项目是去年第六批计划中的一部分，预计今年下半年能够交付，具体数量还需进一步观察客户进度和EPC执行情况。</w:t>
      </w:r>
    </w:p>
    <w:p>
      <w:r>
        <w:rPr>
          <w:rFonts w:ascii="等线(中文正文)" w:hAnsi="等线(中文正文)" w:cs="等线(中文正文)" w:eastAsia="等线(中文正文)"/>
          <w:b w:val="false"/>
          <w:i w:val="false"/>
          <w:sz w:val="20"/>
        </w:rPr>
        <w:t/>
      </w:r>
    </w:p>
    <w:p>
      <w:pPr>
        <w:pStyle w:val="ab"/>
      </w:pPr>
      <w:r>
        <w:t>发言人1 问：主要其他收入中，配组件和其他组件的规模以及高毛利情况如何？对于未来这块收入和盈利能力有何展望？</w:t>
      </w:r>
    </w:p>
    <w:p>
      <w:r>
        <w:rPr>
          <w:rFonts w:ascii="等线(中文正文)" w:hAnsi="等线(中文正文)" w:cs="等线(中文正文)" w:eastAsia="等线(中文正文)"/>
          <w:b w:val="false"/>
          <w:i w:val="false"/>
          <w:sz w:val="20"/>
        </w:rPr>
        <w:t>发言人1 答：这块收入主要针对国内需求，目前组件主要用于满足内配需求，并积极支持相关单位拓展业务。未来希望通过扩大产能和满足海外增量需求来进一步提升盈利能力。</w:t>
      </w:r>
    </w:p>
    <w:p>
      <w:r>
        <w:rPr>
          <w:rFonts w:ascii="等线(中文正文)" w:hAnsi="等线(中文正文)" w:cs="等线(中文正文)" w:eastAsia="等线(中文正文)"/>
          <w:b w:val="false"/>
          <w:i w:val="false"/>
          <w:sz w:val="20"/>
        </w:rPr>
        <w:t/>
      </w:r>
    </w:p>
    <w:p>
      <w:pPr>
        <w:pStyle w:val="ab"/>
      </w:pPr>
      <w:r>
        <w:t>发言人1 问：配网产品价格回升后，是否有信心恢复到2027年的毛利率水平？</w:t>
      </w:r>
    </w:p>
    <w:p>
      <w:r>
        <w:rPr>
          <w:rFonts w:ascii="等线(中文正文)" w:hAnsi="等线(中文正文)" w:cs="等线(中文正文)" w:eastAsia="等线(中文正文)"/>
          <w:b w:val="false"/>
          <w:i w:val="false"/>
          <w:sz w:val="20"/>
        </w:rPr>
        <w:t>发言人1 答：配网产品价格回升后，与之前相比可能仍存在一些差距。由于配网产品品类多、招标模式多样，导致价格回升情况复杂。毛利率方面，铜价波动确实会对质量产生影响，尽管铜对原材料价格影响不大，但在重要产品中的用量较大，因此两者叠加可能会对毛利率产生一定影响。</w:t>
      </w:r>
    </w:p>
    <w:p>
      <w:r>
        <w:rPr>
          <w:rFonts w:ascii="等线(中文正文)" w:hAnsi="等线(中文正文)" w:cs="等线(中文正文)" w:eastAsia="等线(中文正文)"/>
          <w:b w:val="false"/>
          <w:i w:val="false"/>
          <w:sz w:val="20"/>
        </w:rPr>
        <w:t/>
      </w:r>
    </w:p>
    <w:p>
      <w:pPr>
        <w:pStyle w:val="ab"/>
      </w:pPr>
      <w:r>
        <w:t>发言人1 问：现在配网业务是否处于微利状态，以及网内和网外订单增速比例是怎样的？</w:t>
      </w:r>
    </w:p>
    <w:p>
      <w:r>
        <w:rPr>
          <w:rFonts w:ascii="等线(中文正文)" w:hAnsi="等线(中文正文)" w:cs="等线(中文正文)" w:eastAsia="等线(中文正文)"/>
          <w:b w:val="false"/>
          <w:i w:val="false"/>
          <w:sz w:val="20"/>
        </w:rPr>
        <w:t>发言人1 答：目前配网业务整体毛利并未显著降低，只是去年有所下降，但预计不会达到很大幅度。今年上半年网内业务增速可能更高，整体上还是以网内为主。网内业务占据较大比例，我们会优先保障这部分市场的服务和国家重点项目。同时，网外市场也会持续关注并努力拓展，不过由于市场竞争激烈，增速可能会有所放缓。</w:t>
      </w:r>
    </w:p>
    <w:p>
      <w:r>
        <w:rPr>
          <w:rFonts w:ascii="等线(中文正文)" w:hAnsi="等线(中文正文)" w:cs="等线(中文正文)" w:eastAsia="等线(中文正文)"/>
          <w:b w:val="false"/>
          <w:i w:val="false"/>
          <w:sz w:val="20"/>
        </w:rPr>
        <w:t/>
      </w:r>
    </w:p>
    <w:p>
      <w:pPr>
        <w:pStyle w:val="ab"/>
      </w:pPr>
      <w:r>
        <w:t>发言人1 问：500kV以下产品去年中标情况及交付节奏的变化是怎样的？</w:t>
      </w:r>
    </w:p>
    <w:p>
      <w:r>
        <w:rPr>
          <w:rFonts w:ascii="等线(中文正文)" w:hAnsi="等线(中文正文)" w:cs="等线(中文正文)" w:eastAsia="等线(中文正文)"/>
          <w:b w:val="false"/>
          <w:i w:val="false"/>
          <w:sz w:val="20"/>
        </w:rPr>
        <w:t>发言人1 答：去年500kV以下产品中标较多，但实际交付有所延迟，这主要是由于项目进度和客户要求的变化。下半年我们将调整交付节奏，与客户重新匹配合同，确保交付与一季度至二季度的情况相适应。随着项目的建设推进，产品的交付也会随之调整，目前无法确定具体的交付数量，但整体交付仍处于高位。</w:t>
      </w:r>
    </w:p>
    <w:p>
      <w:r>
        <w:rPr>
          <w:rFonts w:ascii="等线(中文正文)" w:hAnsi="等线(中文正文)" w:cs="等线(中文正文)" w:eastAsia="等线(中文正文)"/>
          <w:b w:val="false"/>
          <w:i w:val="false"/>
          <w:sz w:val="20"/>
        </w:rPr>
        <w:t/>
      </w:r>
    </w:p>
    <w:p>
      <w:pPr>
        <w:pStyle w:val="ab"/>
      </w:pPr>
      <w:r>
        <w:t>发言人1 问：对于750kV产品，今年下半年预计会有多少交付？</w:t>
      </w:r>
    </w:p>
    <w:p>
      <w:r>
        <w:rPr>
          <w:rFonts w:ascii="等线(中文正文)" w:hAnsi="等线(中文正文)" w:cs="等线(中文正文)" w:eastAsia="等线(中文正文)"/>
          <w:b w:val="false"/>
          <w:i w:val="false"/>
          <w:sz w:val="20"/>
        </w:rPr>
        <w:t>发言人1 答：年初计划中，预计750kV产品会有约100个左右的交付项目。然而，由于部分项目的进展不如预期，出现了推迟交付的情况，也有提前交付的案例。具体到下半年，虽然整体交付仍保持高位，但具体交付数量尚不确定，需要进一步观察市场情况和项目进度。</w:t>
      </w:r>
    </w:p>
    <w:p>
      <w:r>
        <w:rPr>
          <w:rFonts w:ascii="等线(中文正文)" w:hAnsi="等线(中文正文)" w:cs="等线(中文正文)" w:eastAsia="等线(中文正文)"/>
          <w:b w:val="false"/>
          <w:i w:val="false"/>
          <w:sz w:val="20"/>
        </w:rPr>
        <w:t/>
      </w:r>
    </w:p>
    <w:p>
      <w:pPr>
        <w:pStyle w:val="ab"/>
      </w:pPr>
      <w:r>
        <w:t>发言人1 问：配网业务价格修复的成果何时能体现在报表上，以及毛利率增长预期是多少？</w:t>
      </w:r>
    </w:p>
    <w:p>
      <w:r>
        <w:rPr>
          <w:rFonts w:ascii="等线(中文正文)" w:hAnsi="等线(中文正文)" w:cs="等线(中文正文)" w:eastAsia="等线(中文正文)"/>
          <w:b w:val="false"/>
          <w:i w:val="false"/>
          <w:sz w:val="20"/>
        </w:rPr>
        <w:t>发言人1 答：配网业务价格修复的影响通常会在半年左右反映到报表中，所以预计在今年下半年会有所体现。至于毛利率增长的具体点数，目前基于市场现状和公司经营情况的初步判断，到2023年可能会有改善，但最终结果还需结合市场实际情况再做进一步评估。</w:t>
      </w:r>
    </w:p>
    <w:p>
      <w:r>
        <w:rPr>
          <w:rFonts w:ascii="等线(中文正文)" w:hAnsi="等线(中文正文)" w:cs="等线(中文正文)" w:eastAsia="等线(中文正文)"/>
          <w:b w:val="false"/>
          <w:i w:val="false"/>
          <w:sz w:val="20"/>
        </w:rPr>
        <w:t/>
      </w:r>
    </w:p>
    <w:p>
      <w:pPr>
        <w:pStyle w:val="ab"/>
      </w:pPr>
      <w:r>
        <w:t>发言人1 问：对于GIL产品，今年出货量有何预期？</w:t>
      </w:r>
    </w:p>
    <w:p>
      <w:r>
        <w:rPr>
          <w:rFonts w:ascii="等线(中文正文)" w:hAnsi="等线(中文正文)" w:cs="等线(中文正文)" w:eastAsia="等线(中文正文)"/>
          <w:b w:val="false"/>
          <w:i w:val="false"/>
          <w:sz w:val="20"/>
        </w:rPr>
        <w:t>发言人1 答：目前对于GIL产品的具体出货量还不能确定，因为招标时间尚未明确。不过，了解到的近期内会用到GIL的产品项目包括核电项目、外部电网项目等。公司技术储备丰富，拥有长距离、高落差、环保型等新型GIL技术的研发优势，对未来市场充满信心，但需等待具体项目招标并观察市场动态来确定未来的格局和价格参考。</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2026-08-24T17:39:00Z</dcterms:created>
  <dc:creator>Apache POI</dc:creator>
</cp:coreProperties>
</file>