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华阳集团 260820_导读</w:t>
      </w:r>
    </w:p>
    <w:p>
      <w:pPr>
        <w:pStyle w:val="a0"/>
        <w:jc w:val="center"/>
      </w:pPr>
      <w:r>
        <w:t>2026年08月25日 01:34</w:t>
      </w:r>
    </w:p>
    <w:p>
      <w:pPr>
        <w:pStyle w:val="a7"/>
      </w:pPr>
      <w:r>
        <w:t>关键词</w:t>
      </w:r>
    </w:p>
    <w:p>
      <w:r>
        <w:rPr>
          <w:rFonts w:ascii="等线(中文正文)" w:hAnsi="等线(中文正文)" w:cs="等线(中文正文)" w:eastAsia="等线(中文正文)"/>
          <w:b w:val="false"/>
          <w:i w:val="false"/>
          <w:sz w:val="20"/>
        </w:rPr>
        <w:t xml:space="preserve">汽车电子 AI 订单 增长 产能 智能化 全球化 财务 费用率 研发费用 销售费用 管理费用 精密压铸 镁合金 锌合金 铝合金 HUD 无线充电 显示屏 客户群体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华阳集团在国信证券汽车分析师唐西霞主持的电话会议中，由董秘和财务负责人解读了2026年中报业绩。尽管汽车行业整体下滑，华阳集团第二季度实现了38亿元营收，同比增长36%，利润2.4亿元，增长27%，展现了强劲增长态势。公司特别强调了在汽车智能化和全球化方面的表现，以及AI业务的进展，包括收入增长和订单扩大。董秘表示公司重视第二增长曲线，对未来充满乐观。在问答环节中，公司对投资者关于业绩、产品开发和市场策略的提问进行了详细解答，展示了其在智能汽车和AI领域的未来展望和发展蓝图。</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华阳集团2026年中报业绩解读与未来展望</w:t>
      </w:r>
    </w:p>
    <w:p>
      <w:r>
        <w:rPr>
          <w:rFonts w:ascii="等线(中文正文)" w:hAnsi="等线(中文正文)" w:cs="等线(中文正文)" w:eastAsia="等线(中文正文)"/>
          <w:b w:val="false"/>
          <w:i w:val="false"/>
          <w:sz w:val="20"/>
        </w:rPr>
        <w:t>华阳集团2026年中报显示，公司实现营收38亿元，同比增长36%，规模利润2.4亿元，同比增长27%，在汽车行业整体下滑背景下表现亮眼。公司汽车电子业务表现强劲，收入增长超过30%，得益于智能化产品市场份额提升及充足订单储备。AI相关业务作为第二增长曲线，上半年收入达3亿元，预计全年可达8至10亿元，订单储备超20亿元，显示高速增长潜力。公司对未来充满信心，强调汽车主业韧性及AI业务快速发展，预计将持续交出优异业绩。</w:t>
      </w:r>
    </w:p>
    <w:p>
      <w:r>
        <w:rPr>
          <w:rFonts w:ascii="等线(中文正文)" w:hAnsi="等线(中文正文)" w:cs="等线(中文正文)" w:eastAsia="等线(中文正文)"/>
          <w:b w:val="false"/>
          <w:i w:val="false"/>
          <w:sz w:val="20"/>
        </w:rPr>
        <w:t/>
      </w:r>
    </w:p>
    <w:p>
      <w:pPr>
        <w:pStyle w:val="ab"/>
        <w:numPr>
          <w:numId w:val="2"/>
        </w:numPr>
      </w:pPr>
      <w:r>
        <w:t>05:02 汽车电子与精密压铸业务增长分析</w:t>
      </w:r>
    </w:p>
    <w:p>
      <w:r>
        <w:rPr>
          <w:rFonts w:ascii="等线(中文正文)" w:hAnsi="等线(中文正文)" w:cs="等线(中文正文)" w:eastAsia="等线(中文正文)"/>
          <w:b w:val="false"/>
          <w:i w:val="false"/>
          <w:sz w:val="20"/>
        </w:rPr>
        <w:t>对话深入解析了汽车电子业务的高速增长，特别是HUD、无线充电和显示屏等产品线的显著贡献，以及主要客户如吉利、长安的增量影响。同时，探讨了精密压铸业务中铝合金、锌合金、镁合金的增长亮点，尤其是镁合金因新能源三电系统放量而实现近50%的营收增长。新科技领域，如AI光纤模块，也呈现强劲增长势头。</w:t>
      </w:r>
    </w:p>
    <w:p>
      <w:r>
        <w:rPr>
          <w:rFonts w:ascii="等线(中文正文)" w:hAnsi="等线(中文正文)" w:cs="等线(中文正文)" w:eastAsia="等线(中文正文)"/>
          <w:b w:val="false"/>
          <w:i w:val="false"/>
          <w:sz w:val="20"/>
        </w:rPr>
        <w:t/>
      </w:r>
    </w:p>
    <w:p>
      <w:pPr>
        <w:pStyle w:val="ab"/>
        <w:numPr>
          <w:numId w:val="3"/>
        </w:numPr>
      </w:pPr>
      <w:r>
        <w:t>07:53 业务展望与增长策略：订单与产能支撑下半年及未来几年发展</w:t>
      </w:r>
    </w:p>
    <w:p>
      <w:r>
        <w:rPr>
          <w:rFonts w:ascii="等线(中文正文)" w:hAnsi="等线(中文正文)" w:cs="等线(中文正文)" w:eastAsia="等线(中文正文)"/>
          <w:b w:val="false"/>
          <w:i w:val="false"/>
          <w:sz w:val="20"/>
        </w:rPr>
        <w:t>对话围绕公司下半年及未来几年的增长策略展开，重点提及汽车电子和精密压铸两大业务板块。汽车电子方面，订单持续增长，预计下半年量产项目金额翻倍，为后续发展提供坚实支撑。精密压铸业务中，镁合金和锌合金产能逐步提升，满足市场需求。此外，公司正规划新业务线，为未来3-5年发展布局。整体而言，订单和产能双轮驱动，公司对维持财富增长充满信心。</w:t>
      </w:r>
    </w:p>
    <w:p>
      <w:r>
        <w:rPr>
          <w:rFonts w:ascii="等线(中文正文)" w:hAnsi="等线(中文正文)" w:cs="等线(中文正文)" w:eastAsia="等线(中文正文)"/>
          <w:b w:val="false"/>
          <w:i w:val="false"/>
          <w:sz w:val="20"/>
        </w:rPr>
        <w:t/>
      </w:r>
    </w:p>
    <w:p>
      <w:pPr>
        <w:pStyle w:val="ab"/>
        <w:numPr>
          <w:numId w:val="4"/>
        </w:numPr>
      </w:pPr>
      <w:r>
        <w:t>12:02 费用率控制与研发费用增长分析</w:t>
      </w:r>
    </w:p>
    <w:p>
      <w:r>
        <w:rPr>
          <w:rFonts w:ascii="等线(中文正文)" w:hAnsi="等线(中文正文)" w:cs="等线(中文正文)" w:eastAsia="等线(中文正文)"/>
          <w:b w:val="false"/>
          <w:i w:val="false"/>
          <w:sz w:val="20"/>
        </w:rPr>
        <w:t>对话主要讨论了费用率的控制情况及未来展望，指出研发费用在费用率中占比较大，且增长显著。虽然销售费用因接单成本较高而略高，但管理费用率持续下降，与规模效益提升有关。财务费用增加主要源于资产投资规模扩大和外币汇率波动。总体来看，公司正通过提高人均产出和优化内部管理来控制费用率，同时加大研发投入以提升现有智能化产品的市场份额。</w:t>
      </w:r>
    </w:p>
    <w:p>
      <w:r>
        <w:rPr>
          <w:rFonts w:ascii="等线(中文正文)" w:hAnsi="等线(中文正文)" w:cs="等线(中文正文)" w:eastAsia="等线(中文正文)"/>
          <w:b w:val="false"/>
          <w:i w:val="false"/>
          <w:sz w:val="20"/>
        </w:rPr>
        <w:t/>
      </w:r>
    </w:p>
    <w:p>
      <w:pPr>
        <w:pStyle w:val="ab"/>
        <w:numPr>
          <w:numId w:val="5"/>
        </w:numPr>
      </w:pPr>
      <w:r>
        <w:t>14:28 公司费用率与研发效率优化展望</w:t>
      </w:r>
    </w:p>
    <w:p>
      <w:r>
        <w:rPr>
          <w:rFonts w:ascii="等线(中文正文)" w:hAnsi="等线(中文正文)" w:cs="等线(中文正文)" w:eastAsia="等线(中文正文)"/>
          <w:b w:val="false"/>
          <w:i w:val="false"/>
          <w:sz w:val="20"/>
        </w:rPr>
        <w:t>讨论了公司费用率下降趋势，强调了研发效率提升、规模效应及管理费用优化的重要性，展望未来费用率将平稳下降，研发费用投入将继续优化，整体财务表现预计改善。</w:t>
      </w:r>
    </w:p>
    <w:p>
      <w:r>
        <w:rPr>
          <w:rFonts w:ascii="等线(中文正文)" w:hAnsi="等线(中文正文)" w:cs="等线(中文正文)" w:eastAsia="等线(中文正文)"/>
          <w:b w:val="false"/>
          <w:i w:val="false"/>
          <w:sz w:val="20"/>
        </w:rPr>
        <w:t/>
      </w:r>
    </w:p>
    <w:p>
      <w:pPr>
        <w:pStyle w:val="ab"/>
        <w:numPr>
          <w:numId w:val="6"/>
        </w:numPr>
      </w:pPr>
      <w:r>
        <w:t>18:13 公司控股权变更与未来发展展望</w:t>
      </w:r>
    </w:p>
    <w:p>
      <w:r>
        <w:rPr>
          <w:rFonts w:ascii="等线(中文正文)" w:hAnsi="等线(中文正文)" w:cs="等线(中文正文)" w:eastAsia="等线(中文正文)"/>
          <w:b w:val="false"/>
          <w:i w:val="false"/>
          <w:sz w:val="20"/>
        </w:rPr>
        <w:t>对话围绕公司近期的重大变化——控股权变更展开，详细阐述了新股东对公司股东结构、治理结构以及业务协同的积极影响。新股东不仅帮助改善股东结构，减少对经营的干涉，还带来产业背景支持，促进公司在电子信息、汽车及高端元器件领域的业务协同，助力公司第二增长曲线的发展。管理层对现有经营管理体系的成熟稳定充满信心，期待新股东带来的长期发展利好。</w:t>
      </w:r>
    </w:p>
    <w:p>
      <w:r>
        <w:rPr>
          <w:rFonts w:ascii="等线(中文正文)" w:hAnsi="等线(中文正文)" w:cs="等线(中文正文)" w:eastAsia="等线(中文正文)"/>
          <w:b w:val="false"/>
          <w:i w:val="false"/>
          <w:sz w:val="20"/>
        </w:rPr>
        <w:t/>
      </w:r>
    </w:p>
    <w:p>
      <w:pPr>
        <w:pStyle w:val="ab"/>
        <w:numPr>
          <w:numId w:val="7"/>
        </w:numPr>
      </w:pPr>
      <w:r>
        <w:t>23:37 2023年上半年产品增长分析与未来展望</w:t>
      </w:r>
    </w:p>
    <w:p>
      <w:r>
        <w:rPr>
          <w:rFonts w:ascii="等线(中文正文)" w:hAnsi="等线(中文正文)" w:cs="等线(中文正文)" w:eastAsia="等线(中文正文)"/>
          <w:b w:val="false"/>
          <w:i w:val="false"/>
          <w:sz w:val="20"/>
        </w:rPr>
        <w:t>对话围绕2023年上半年产品增长情况展开，重点分析了汽车电子业务中HOD、无线充电等产品的高增长表现，以及镁合金、锌合金在新能源领域的亮眼增长。同时，提及了吉利、长安等主要客户的不同程度增长。最后，讨论了基于当前产品和客户订单对未来半年及全年的展望，特别是座舱单品的潜力。</w:t>
      </w:r>
    </w:p>
    <w:p>
      <w:r>
        <w:rPr>
          <w:rFonts w:ascii="等线(中文正文)" w:hAnsi="等线(中文正文)" w:cs="等线(中文正文)" w:eastAsia="等线(中文正文)"/>
          <w:b w:val="false"/>
          <w:i w:val="false"/>
          <w:sz w:val="20"/>
        </w:rPr>
        <w:t/>
      </w:r>
    </w:p>
    <w:p>
      <w:pPr>
        <w:pStyle w:val="ab"/>
        <w:numPr>
          <w:numId w:val="8"/>
        </w:numPr>
      </w:pPr>
      <w:r>
        <w:t>26:37 汽车电子行业下半年项目量产与增长展望</w:t>
      </w:r>
    </w:p>
    <w:p>
      <w:r>
        <w:rPr>
          <w:rFonts w:ascii="等线(中文正文)" w:hAnsi="等线(中文正文)" w:cs="等线(中文正文)" w:eastAsia="等线(中文正文)"/>
          <w:b w:val="false"/>
          <w:i w:val="false"/>
          <w:sz w:val="20"/>
        </w:rPr>
        <w:t>对话中提到，汽车电子行业预计下半年和明年将有多个项目进入量产阶段，尤其在显示屏、预控系统和无线充电等领域，多个重磅车型将推出，订单金额和数量均呈现翻倍增长趋势。国际品牌和自主车企均有新项目覆盖，产品性能要求提升，价格量亦有显著增长。特别是中控引流系统产品，随着国内自主车企出口车型销量增长，市场需求回暖，呈现增长趋势。</w:t>
      </w:r>
    </w:p>
    <w:p>
      <w:r>
        <w:rPr>
          <w:rFonts w:ascii="等线(中文正文)" w:hAnsi="等线(中文正文)" w:cs="等线(中文正文)" w:eastAsia="等线(中文正文)"/>
          <w:b w:val="false"/>
          <w:i w:val="false"/>
          <w:sz w:val="20"/>
        </w:rPr>
        <w:t/>
      </w:r>
    </w:p>
    <w:p>
      <w:pPr>
        <w:pStyle w:val="ab"/>
        <w:numPr>
          <w:numId w:val="9"/>
        </w:numPr>
      </w:pPr>
      <w:r>
        <w:t>30:13 电子毛利率波动分析与未来展望</w:t>
      </w:r>
    </w:p>
    <w:p>
      <w:r>
        <w:rPr>
          <w:rFonts w:ascii="等线(中文正文)" w:hAnsi="等线(中文正文)" w:cs="等线(中文正文)" w:eastAsia="等线(中文正文)"/>
          <w:b w:val="false"/>
          <w:i w:val="false"/>
          <w:sz w:val="20"/>
        </w:rPr>
        <w:t>对话深入探讨了电子毛利率的波动原因，指出存储涨价影响财务数据，剔除影响后毛利率下降幅度较小。分析了汽车产业竞争激烈、原材料涨价等因素对毛利率的影响。展望未来，毛利率短期将逐季提升，但长期趋势需视行业竞争情况而定，研发投入有望推动毛利率回升。</w:t>
      </w:r>
    </w:p>
    <w:p>
      <w:r>
        <w:rPr>
          <w:rFonts w:ascii="等线(中文正文)" w:hAnsi="等线(中文正文)" w:cs="等线(中文正文)" w:eastAsia="等线(中文正文)"/>
          <w:b w:val="false"/>
          <w:i w:val="false"/>
          <w:sz w:val="20"/>
        </w:rPr>
        <w:t/>
      </w:r>
    </w:p>
    <w:p>
      <w:pPr>
        <w:pStyle w:val="ab"/>
        <w:numPr>
          <w:numId w:val="10"/>
        </w:numPr>
      </w:pPr>
      <w:r>
        <w:t>33:00 AI业务增长与市场拓展情况汇报</w:t>
      </w:r>
    </w:p>
    <w:p>
      <w:r>
        <w:rPr>
          <w:rFonts w:ascii="等线(中文正文)" w:hAnsi="等线(中文正文)" w:cs="等线(中文正文)" w:eastAsia="等线(中文正文)"/>
          <w:b w:val="false"/>
          <w:i w:val="false"/>
          <w:sz w:val="20"/>
        </w:rPr>
        <w:t>上半年AI业务收入接近4亿，同比增长显著，全年预计营收8到10亿。目前代购订单保守估计超过20亿，实际规模接近30亿。海外市场为主，但国内市场拓展已启动，包括华为在内的国内客户订单增加。</w:t>
      </w:r>
    </w:p>
    <w:p>
      <w:r>
        <w:rPr>
          <w:rFonts w:ascii="等线(中文正文)" w:hAnsi="等线(中文正文)" w:cs="等线(中文正文)" w:eastAsia="等线(中文正文)"/>
          <w:b w:val="false"/>
          <w:i w:val="false"/>
          <w:sz w:val="20"/>
        </w:rPr>
        <w:t/>
      </w:r>
    </w:p>
    <w:p>
      <w:pPr>
        <w:pStyle w:val="ab"/>
        <w:numPr>
          <w:numId w:val="11"/>
        </w:numPr>
      </w:pPr>
      <w:r>
        <w:t>34:28 公司营收目标与产能规划详解</w:t>
      </w:r>
    </w:p>
    <w:p>
      <w:r>
        <w:rPr>
          <w:rFonts w:ascii="等线(中文正文)" w:hAnsi="等线(中文正文)" w:cs="等线(中文正文)" w:eastAsia="等线(中文正文)"/>
          <w:b w:val="false"/>
          <w:i w:val="false"/>
          <w:sz w:val="20"/>
        </w:rPr>
        <w:t>公司设定了从今年8到10亿营收增长至明年12到14亿的目标，为此提前布局产能，包括惠州工业园的规模化生产及泰国工厂年底投产，预计新增十个亿产能，加上二季度开始的五个亿新增产能，年底总产能将达十个亿，以满足更多订单需求。</w:t>
      </w:r>
    </w:p>
    <w:p>
      <w:r>
        <w:rPr>
          <w:rFonts w:ascii="等线(中文正文)" w:hAnsi="等线(中文正文)" w:cs="等线(中文正文)" w:eastAsia="等线(中文正文)"/>
          <w:b w:val="false"/>
          <w:i w:val="false"/>
          <w:sz w:val="20"/>
        </w:rPr>
        <w:t/>
      </w:r>
    </w:p>
    <w:p>
      <w:pPr>
        <w:pStyle w:val="ab"/>
        <w:numPr>
          <w:numId w:val="12"/>
        </w:numPr>
      </w:pPr>
      <w:r>
        <w:t>35:30 公司产能扩建与业务拓展进展</w:t>
      </w:r>
    </w:p>
    <w:p>
      <w:r>
        <w:rPr>
          <w:rFonts w:ascii="等线(中文正文)" w:hAnsi="等线(中文正文)" w:cs="等线(中文正文)" w:eastAsia="等线(中文正文)"/>
          <w:b w:val="false"/>
          <w:i w:val="false"/>
          <w:sz w:val="20"/>
        </w:rPr>
        <w:t>对话围绕公司在浙江长兴生产基地的镁合金产能扩建项目展开，讨论了新能源领域的机器人业务布局，包括关键模组零部件订单获取及未来营收预期。同时，探讨了项目选择标准，强调了随市场变化动态调整策略的重要性。最后，提及轮胎行业近况更新作为会议结束话题。</w:t>
      </w:r>
    </w:p>
    <w:p>
      <w:r>
        <w:rPr>
          <w:rFonts w:ascii="等线(中文正文)" w:hAnsi="等线(中文正文)" w:cs="等线(中文正文)" w:eastAsia="等线(中文正文)"/>
          <w:b w:val="false"/>
          <w:i w:val="false"/>
          <w:sz w:val="20"/>
        </w:rPr>
        <w:t/>
      </w:r>
    </w:p>
    <w:p>
      <w:pPr>
        <w:pStyle w:val="a7"/>
      </w:pPr>
      <w:r>
        <w:t>发言总结</w:t>
      </w:r>
    </w:p>
    <w:p>
      <w:pPr>
        <w:pStyle w:val="ab"/>
        <w:numPr>
          <w:numId w:val="13"/>
        </w:numPr>
      </w:pPr>
      <w:r>
        <w:t>发言人1</w:t>
      </w:r>
    </w:p>
    <w:p>
      <w:r>
        <w:rPr>
          <w:rFonts w:ascii="等线(中文正文)" w:hAnsi="等线(中文正文)" w:cs="等线(中文正文)" w:eastAsia="等线(中文正文)"/>
          <w:b w:val="false"/>
          <w:i w:val="false"/>
          <w:sz w:val="20"/>
        </w:rPr>
        <w:t>他对华阳集团2026年中报业绩进行了深入解读，首先对国信证券汽车分析师唐西霞及其团队的参与表示欢迎，并高度赞扬了华阳集团的出色业绩。尽管汽车乘用车内销下滑20%，华阳集团仍实现营收38亿元，同比增长36%；规模利润2.4亿，同比增长27%。业绩增长主要得益于汽车业务的韧性和AI业务的高速增长。汽车电子领域收入增长超过30%，显示出公司在新业务领域的强大增长动力。AI业务预计全年收入能达到8到10亿，当前在手订单超过20亿，显示出巨大潜力和市场前景。他强调了公司对研发投入的重视，以及如何通过内部管理和技术革新来应对市场竞争和原材料价格上涨，维持和提升毛利率。同时，提到了公司股权变更的积极影响，对未来发展的展望和规划表达了乐观态度。整体而言，他向投资者全面展示了华阳集团在汽车和AI领域的综合实力和未来增长潜力。</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问：请李总详细解读一下华阳集团上半年的基本情况和重点表现？</w:t>
      </w:r>
    </w:p>
    <w:p>
      <w:r>
        <w:rPr>
          <w:rFonts w:ascii="等线(中文正文)" w:hAnsi="等线(中文正文)" w:cs="等线(中文正文)" w:eastAsia="等线(中文正文)"/>
          <w:b w:val="false"/>
          <w:i w:val="false"/>
          <w:sz w:val="20"/>
        </w:rPr>
        <w:t>发言人1 答：上半年，华阳集团在汽车行业的整体环境下行背景下，实现了亮眼的业绩增长。汽车仍然是公司的核心业务，并且在智能化和全球化趋势下展现出强大的韧性与增长潜力。今年上半年，汽车电子收入增长超过30%，主要原因是我司智能化相关产品的市场份额不断提升，以及过去注重订单抢夺导致的手上订单储备充足，可以有效抵御市场的波动风险。</w:t>
      </w:r>
    </w:p>
    <w:p>
      <w:r>
        <w:rPr>
          <w:rFonts w:ascii="等线(中文正文)" w:hAnsi="等线(中文正文)" w:cs="等线(中文正文)" w:eastAsia="等线(中文正文)"/>
          <w:b w:val="false"/>
          <w:i w:val="false"/>
          <w:sz w:val="20"/>
        </w:rPr>
        <w:t/>
      </w:r>
    </w:p>
    <w:p>
      <w:pPr>
        <w:pStyle w:val="ab"/>
      </w:pPr>
      <w:r>
        <w:t>发言人1 问：公司的第二增长曲线——AI业务的发展状况如何？在汽车电子业务中，哪些新产品或客户对收入增长贡献较大？</w:t>
      </w:r>
    </w:p>
    <w:p>
      <w:r>
        <w:rPr>
          <w:rFonts w:ascii="等线(中文正文)" w:hAnsi="等线(中文正文)" w:cs="等线(中文正文)" w:eastAsia="等线(中文正文)"/>
          <w:b w:val="false"/>
          <w:i w:val="false"/>
          <w:sz w:val="20"/>
        </w:rPr>
        <w:t>发言人1 答：AI业务是公司当前的第二增长曲线，今年上半年已形成规模并处于高速增长通道，盈利能力优于汽车业务。AI相关的收入约为三个多亿，预计全年能实现8到10个亿的收入。目前，AI在手订单超过20亿，接近30亿，且机会众多，包括master、续创及其下属的液冷公司等项目。我们将紧抓赛道机遇，拓展新产品线和订单，保持高速增长状态。在汽车电子业务中，主要产品均保持了良好的增长势头。其中，HUD和无线充电产品的出货量增速显著，尤其是HUD今年上半年达到了100万套，同比增长超过三倍；无线充电虽基数较大但仍保持接近50%的增长。此外，显示屏业务、预控及运动机构等板块也均实现了30%以上的增速，表明汽车电子业务各产品线齐头并进，共同推动了整体的高速增长。</w:t>
      </w:r>
    </w:p>
    <w:p>
      <w:r>
        <w:rPr>
          <w:rFonts w:ascii="等线(中文正文)" w:hAnsi="等线(中文正文)" w:cs="等线(中文正文)" w:eastAsia="等线(中文正文)"/>
          <w:b w:val="false"/>
          <w:i w:val="false"/>
          <w:sz w:val="20"/>
        </w:rPr>
        <w:t/>
      </w:r>
    </w:p>
    <w:p>
      <w:pPr>
        <w:pStyle w:val="ab"/>
      </w:pPr>
      <w:r>
        <w:t>发言人1 问：对于精密压铸业务及其在AI领域的进展，能否详细说明一下？</w:t>
      </w:r>
    </w:p>
    <w:p>
      <w:r>
        <w:rPr>
          <w:rFonts w:ascii="等线(中文正文)" w:hAnsi="等线(中文正文)" w:cs="等线(中文正文)" w:eastAsia="等线(中文正文)"/>
          <w:b w:val="false"/>
          <w:i w:val="false"/>
          <w:sz w:val="20"/>
        </w:rPr>
        <w:t>发言人1 答：精密压铸业务不仅在传统领域有良好基础，在AI领域也取得了重大进展。随着AI业务的快速发展，精密压铸将从中受益，实现快速增长。公司整体发展态势良好，每个季度都致力于提供满意的业绩答卷给投资人。</w:t>
      </w:r>
    </w:p>
    <w:p>
      <w:r>
        <w:rPr>
          <w:rFonts w:ascii="等线(中文正文)" w:hAnsi="等线(中文正文)" w:cs="等线(中文正文)" w:eastAsia="等线(中文正文)"/>
          <w:b w:val="false"/>
          <w:i w:val="false"/>
          <w:sz w:val="20"/>
        </w:rPr>
        <w:t/>
      </w:r>
    </w:p>
    <w:p>
      <w:pPr>
        <w:pStyle w:val="ab"/>
      </w:pPr>
      <w:r>
        <w:t>发言人1 问：从客户角度来看，公司的客户群体是否保持稳健？前五大客户有哪些，他们的营收增长情况如何？</w:t>
      </w:r>
    </w:p>
    <w:p>
      <w:r>
        <w:rPr>
          <w:rFonts w:ascii="等线(中文正文)" w:hAnsi="等线(中文正文)" w:cs="等线(中文正文)" w:eastAsia="等线(中文正文)"/>
          <w:b w:val="false"/>
          <w:i w:val="false"/>
          <w:sz w:val="20"/>
        </w:rPr>
        <w:t>发言人1 答：公司的客户群体保持稳健，整体客户结构未发生显著变化。前五大客户分别是吉利、长安、长城、奇瑞和北汽，这些客户都有一定的营收增量。其中，吉利得益于HOD和屏显示的放量，营收增长较大；长安也因预控HOD等增量带来高增长；赛力斯、小米等增速也非常快；国际客户如福特的电子业务营收有较好的增长速度。</w:t>
      </w:r>
    </w:p>
    <w:p>
      <w:r>
        <w:rPr>
          <w:rFonts w:ascii="等线(中文正文)" w:hAnsi="等线(中文正文)" w:cs="等线(中文正文)" w:eastAsia="等线(中文正文)"/>
          <w:b w:val="false"/>
          <w:i w:val="false"/>
          <w:sz w:val="20"/>
        </w:rPr>
        <w:t/>
      </w:r>
    </w:p>
    <w:p>
      <w:pPr>
        <w:pStyle w:val="ab"/>
      </w:pPr>
      <w:r>
        <w:t>发言人1 问：公司的第二大主营业务经营压缩业务方面有哪些亮点？</w:t>
      </w:r>
    </w:p>
    <w:p>
      <w:r>
        <w:rPr>
          <w:rFonts w:ascii="等线(中文正文)" w:hAnsi="等线(中文正文)" w:cs="等线(中文正文)" w:eastAsia="等线(中文正文)"/>
          <w:b w:val="false"/>
          <w:i w:val="false"/>
          <w:sz w:val="20"/>
        </w:rPr>
        <w:t>发言人1 答：经营压缩业务中，铝合金、锌合金、镁合金同比都有较好的增长，尤其是锌合金和镁合金增长更为明显。镁合金营收增长接近50%，主要是因为从25年开始拿到较多定点项目，并且受益于新能源三电系统等中大电子产品放量带动。此外，AI领域的光纤模块零部件增速接近50%，新科技领域整体实现30%以上的增速。</w:t>
      </w:r>
    </w:p>
    <w:p>
      <w:r>
        <w:rPr>
          <w:rFonts w:ascii="等线(中文正文)" w:hAnsi="等线(中文正文)" w:cs="等线(中文正文)" w:eastAsia="等线(中文正文)"/>
          <w:b w:val="false"/>
          <w:i w:val="false"/>
          <w:sz w:val="20"/>
        </w:rPr>
        <w:t/>
      </w:r>
    </w:p>
    <w:p>
      <w:pPr>
        <w:pStyle w:val="ab"/>
      </w:pPr>
      <w:r>
        <w:t>发言人1 问：对于下半年以及未来几年，公司在电子和精密压铸业务上是否有中线维度的增速指引？目前汽车电子业务的产能情况如何？未来有哪些投产计划？</w:t>
      </w:r>
    </w:p>
    <w:p>
      <w:r>
        <w:rPr>
          <w:rFonts w:ascii="等线(中文正文)" w:hAnsi="等线(中文正文)" w:cs="等线(中文正文)" w:eastAsia="等线(中文正文)"/>
          <w:b w:val="false"/>
          <w:i w:val="false"/>
          <w:sz w:val="20"/>
        </w:rPr>
        <w:t>发言人1 答：下半年及未来几年，公司对电子和精密压铸业务的展望是有实际支撑的。这一支撑主要来自汽车电子方面的订单增长，从去年开始至今，汽车电子订单增长基本保持在30%左右，且在手订单充足，能够保证后期较好的扎实增长。同时，今年下半年至明年全年，新量产项目的数量和金额都将大幅增长，这是公司后续发展的重要支撑。今年第二季度开始，镁合金产能逐步投产，预计到今年第四季度可以达到满产状态，新增产能约为五个亿。此外，为了满足快速增长的需求，公司还在长兴地区快速扩充镁合金产能。锌合金方面，为了应对AI领域快速发展的需求，公司在惠州购置了土地并建设厂房，预计今年下半年开始进入投产阶段，这部分产能将达到十个亿，主要生产AI相关的液冷及新合金产品。同时，泰国方面也准备了约四亿的产能，预计从第三季度开始市场投放。</w:t>
      </w:r>
    </w:p>
    <w:p>
      <w:r>
        <w:rPr>
          <w:rFonts w:ascii="等线(中文正文)" w:hAnsi="等线(中文正文)" w:cs="等线(中文正文)" w:eastAsia="等线(中文正文)"/>
          <w:b w:val="false"/>
          <w:i w:val="false"/>
          <w:sz w:val="20"/>
        </w:rPr>
        <w:t/>
      </w:r>
    </w:p>
    <w:p>
      <w:pPr>
        <w:pStyle w:val="ab"/>
      </w:pPr>
      <w:r>
        <w:t>发言人1 问：关于财务方面，公司在第二季度费用率有所下降，具体原因是什么？对未来费用率有何展望？</w:t>
      </w:r>
    </w:p>
    <w:p>
      <w:r>
        <w:rPr>
          <w:rFonts w:ascii="等线(中文正文)" w:hAnsi="等线(中文正文)" w:cs="等线(中文正文)" w:eastAsia="等线(中文正文)"/>
          <w:b w:val="false"/>
          <w:i w:val="false"/>
          <w:sz w:val="20"/>
        </w:rPr>
        <w:t>发言人1 答：第二季度研发费用有较大幅度增长（约120%），这是由于新建订单较多，销售费用方面，虽然与业务当期收入并非直接对应的绝对值关系，但由于接单成本较高，因此报表上销售费用相对较高。对于后续费用率的展望，公司会继续加强费用控制，具体表现会根据产品研发规划和销售策略的变化而定。</w:t>
      </w:r>
    </w:p>
    <w:p>
      <w:r>
        <w:rPr>
          <w:rFonts w:ascii="等线(中文正文)" w:hAnsi="等线(中文正文)" w:cs="等线(中文正文)" w:eastAsia="等线(中文正文)"/>
          <w:b w:val="false"/>
          <w:i w:val="false"/>
          <w:sz w:val="20"/>
        </w:rPr>
        <w:t/>
      </w:r>
    </w:p>
    <w:p>
      <w:pPr>
        <w:pStyle w:val="ab"/>
      </w:pPr>
      <w:r>
        <w:t>发言人1 问：管理费用这一块与公司的规模效益有何关联？</w:t>
      </w:r>
    </w:p>
    <w:p>
      <w:r>
        <w:rPr>
          <w:rFonts w:ascii="等线(中文正文)" w:hAnsi="等线(中文正文)" w:cs="等线(中文正文)" w:eastAsia="等线(中文正文)"/>
          <w:b w:val="false"/>
          <w:i w:val="false"/>
          <w:sz w:val="20"/>
        </w:rPr>
        <w:t>发言人1 答：管理费用与我们的规模效益密切相关。近年来，管理费用率整体上呈现下降趋势，这得益于我们内部管理的提升。尽管车间可以看到用工成本在上涨，但我们通过提高人均产出进行了有效应对。</w:t>
      </w:r>
    </w:p>
    <w:p>
      <w:r>
        <w:rPr>
          <w:rFonts w:ascii="等线(中文正文)" w:hAnsi="等线(中文正文)" w:cs="等线(中文正文)" w:eastAsia="等线(中文正文)"/>
          <w:b w:val="false"/>
          <w:i w:val="false"/>
          <w:sz w:val="20"/>
        </w:rPr>
        <w:t/>
      </w:r>
    </w:p>
    <w:p>
      <w:pPr>
        <w:pStyle w:val="ab"/>
      </w:pPr>
      <w:r>
        <w:t>发言人1 问：财务费用方面有何影响因素？</w:t>
      </w:r>
    </w:p>
    <w:p>
      <w:r>
        <w:rPr>
          <w:rFonts w:ascii="等线(中文正文)" w:hAnsi="等线(中文正文)" w:cs="等线(中文正文)" w:eastAsia="等线(中文正文)"/>
          <w:b w:val="false"/>
          <w:i w:val="false"/>
          <w:sz w:val="20"/>
        </w:rPr>
        <w:t>发言人1 答：财务费用受到两个主要因素的影响。首先，由于近几年资产投资规模较大，我们从银行借款增多，导致财务费用支出相应增加。其次，今年外币汇率波动显著，尤其是欧元汇率，对财务费用中的汇率损益产生了影响。不过，汇率短期波动对我们出口业务绝对增长的情况并不是决定性因素。</w:t>
      </w:r>
    </w:p>
    <w:p>
      <w:r>
        <w:rPr>
          <w:rFonts w:ascii="等线(中文正文)" w:hAnsi="等线(中文正文)" w:cs="等线(中文正文)" w:eastAsia="等线(中文正文)"/>
          <w:b w:val="false"/>
          <w:i w:val="false"/>
          <w:sz w:val="20"/>
        </w:rPr>
        <w:t/>
      </w:r>
    </w:p>
    <w:p>
      <w:pPr>
        <w:pStyle w:val="ab"/>
      </w:pPr>
      <w:r>
        <w:t>发言人1 问：研发费用在费用率中占比较大，今年上半年的情况如何？</w:t>
      </w:r>
    </w:p>
    <w:p>
      <w:r>
        <w:rPr>
          <w:rFonts w:ascii="等线(中文正文)" w:hAnsi="等线(中文正文)" w:cs="等线(中文正文)" w:eastAsia="等线(中文正文)"/>
          <w:b w:val="false"/>
          <w:i w:val="false"/>
          <w:sz w:val="20"/>
        </w:rPr>
        <w:t>发言人1 答：在今年上半年，研发费用占比较大，其增长与收入增长相比还不是很匹配。目前，研发费用的增长主要来自于现有智能化新产品的市场份额提升以及新项目筛选后的规模化项目。尽管研发效率已有提高，包括未裁员、引入AI工具提升人效等措施，但由于在手项目过多，研发费用增长率与收入增长率之间的剪刀差还不够明显。</w:t>
      </w:r>
    </w:p>
    <w:p>
      <w:r>
        <w:rPr>
          <w:rFonts w:ascii="等线(中文正文)" w:hAnsi="等线(中文正文)" w:cs="等线(中文正文)" w:eastAsia="等线(中文正文)"/>
          <w:b w:val="false"/>
          <w:i w:val="false"/>
          <w:sz w:val="20"/>
        </w:rPr>
        <w:t/>
      </w:r>
    </w:p>
    <w:p>
      <w:pPr>
        <w:pStyle w:val="ab"/>
      </w:pPr>
      <w:r>
        <w:t>发言人1 问：对于未来费用率的展望是怎样的？</w:t>
      </w:r>
    </w:p>
    <w:p>
      <w:r>
        <w:rPr>
          <w:rFonts w:ascii="等线(中文正文)" w:hAnsi="等线(中文正文)" w:cs="等线(中文正文)" w:eastAsia="等线(中文正文)"/>
          <w:b w:val="false"/>
          <w:i w:val="false"/>
          <w:sz w:val="20"/>
        </w:rPr>
        <w:t>发言人1 答：财务费用方面，受市场变化等因素影响，可能存在一定波动；而管理费用和研发费用则基于规模效应会有下降趋势，随着业务持续增长，管理费用会随着规模效应提升而下降。因此，整体费用率是有平稳微降至10个点左右水平的可能性，并有望保持稳定状态。至于研发费用，会从当前的7个点左右逐步优化改善。</w:t>
      </w:r>
    </w:p>
    <w:p>
      <w:r>
        <w:rPr>
          <w:rFonts w:ascii="等线(中文正文)" w:hAnsi="等线(中文正文)" w:cs="等线(中文正文)" w:eastAsia="等线(中文正文)"/>
          <w:b w:val="false"/>
          <w:i w:val="false"/>
          <w:sz w:val="20"/>
        </w:rPr>
        <w:t/>
      </w:r>
    </w:p>
    <w:p>
      <w:pPr>
        <w:pStyle w:val="ab"/>
      </w:pPr>
      <w:r>
        <w:t>发言人1 问：关于近期重大变化，即控股股权变更，对公司战略及整体影响有何看法？</w:t>
      </w:r>
    </w:p>
    <w:p>
      <w:r>
        <w:rPr>
          <w:rFonts w:ascii="等线(中文正文)" w:hAnsi="等线(中文正文)" w:cs="等线(中文正文)" w:eastAsia="等线(中文正文)"/>
          <w:b w:val="false"/>
          <w:i w:val="false"/>
          <w:sz w:val="20"/>
        </w:rPr>
        <w:t>发言人1 答：关于控股股权变更，公司将进行后续分享，以阐明这一变化对公司战略的影响以及控股权变更对我们整个公司所带来的影响。</w:t>
      </w:r>
    </w:p>
    <w:p>
      <w:r>
        <w:rPr>
          <w:rFonts w:ascii="等线(中文正文)" w:hAnsi="等线(中文正文)" w:cs="等线(中文正文)" w:eastAsia="等线(中文正文)"/>
          <w:b w:val="false"/>
          <w:i w:val="false"/>
          <w:sz w:val="20"/>
        </w:rPr>
        <w:t/>
      </w:r>
    </w:p>
    <w:p>
      <w:pPr>
        <w:pStyle w:val="ab"/>
      </w:pPr>
      <w:r>
        <w:t>发言人1 问：这次股东变更的主要目的是什么？原股东群体的情况及退出安排是怎样的？</w:t>
      </w:r>
    </w:p>
    <w:p>
      <w:r>
        <w:rPr>
          <w:rFonts w:ascii="等线(中文正文)" w:hAnsi="等线(中文正文)" w:cs="等线(中文正文)" w:eastAsia="等线(中文正文)"/>
          <w:b w:val="false"/>
          <w:i w:val="false"/>
          <w:sz w:val="20"/>
        </w:rPr>
        <w:t>发言人1 答：这次股东变更的主要目的是引入一个具有产业背景且有国资背景的新股东，以改善原有的股东结构，实现股东多元化，并在业务上带来协同效应，同时保持对下属公司的管理不干涉，确保目前成熟稳定的管理体系得以持续运作，助力公司长期健康发展。原股东群体由171名自然人组成，其中大部分实控人已不再参与公司经营，只有周总一人较为活跃，但也不会直接干预子公司发展，更多是在战略指导和发起项目方面发挥作用。因此，原股东群体对公司未来发展帮助有限，且鉴于自然人股东年龄增长等因素，需要有序退出，为新股东的加入腾出空间。</w:t>
      </w:r>
    </w:p>
    <w:p>
      <w:r>
        <w:rPr>
          <w:rFonts w:ascii="等线(中文正文)" w:hAnsi="等线(中文正文)" w:cs="等线(中文正文)" w:eastAsia="等线(中文正文)"/>
          <w:b w:val="false"/>
          <w:i w:val="false"/>
          <w:sz w:val="20"/>
        </w:rPr>
        <w:t/>
      </w:r>
    </w:p>
    <w:p>
      <w:pPr>
        <w:pStyle w:val="ab"/>
      </w:pPr>
      <w:r>
        <w:t>发言人1 问：四川九州作为新股东，在业务方面有哪些潜在协同？</w:t>
      </w:r>
    </w:p>
    <w:p>
      <w:r>
        <w:rPr>
          <w:rFonts w:ascii="等线(中文正文)" w:hAnsi="等线(中文正文)" w:cs="等线(中文正文)" w:eastAsia="等线(中文正文)"/>
          <w:b w:val="false"/>
          <w:i w:val="false"/>
          <w:sz w:val="20"/>
        </w:rPr>
        <w:t>发言人1 答：四川九州拥有丰富的信息电子信息产业链资源，尤其在汽车和高端元器件领域具备产业背景。双方在元器件、光通信、智能低空经济等方面初步显示出强烈的业务协同效应，有望通过深入挖掘进一步推进公司的第二增长曲线业务发展。</w:t>
      </w:r>
    </w:p>
    <w:p>
      <w:r>
        <w:rPr>
          <w:rFonts w:ascii="等线(中文正文)" w:hAnsi="等线(中文正文)" w:cs="等线(中文正文)" w:eastAsia="等线(中文正文)"/>
          <w:b w:val="false"/>
          <w:i w:val="false"/>
          <w:sz w:val="20"/>
        </w:rPr>
        <w:t/>
      </w:r>
    </w:p>
    <w:p>
      <w:pPr>
        <w:pStyle w:val="ab"/>
      </w:pPr>
      <w:r>
        <w:t>发言人1 问：新股东加入后，在公司管理层面会有什么变化吗？</w:t>
      </w:r>
    </w:p>
    <w:p>
      <w:r>
        <w:rPr>
          <w:rFonts w:ascii="等线(中文正文)" w:hAnsi="等线(中文正文)" w:cs="等线(中文正文)" w:eastAsia="等线(中文正文)"/>
          <w:b w:val="false"/>
          <w:i w:val="false"/>
          <w:sz w:val="20"/>
        </w:rPr>
        <w:t>发言人1 答：新股东不会对公司的日常经营管理进行过多干涉，现有的子公司经营层和管理团队将保持不变，他们主要由职业经理人组成，且与新股东之间将遵循类似的原则进行沟通和合作。</w:t>
      </w:r>
    </w:p>
    <w:p>
      <w:r>
        <w:rPr>
          <w:rFonts w:ascii="等线(中文正文)" w:hAnsi="等线(中文正文)" w:cs="等线(中文正文)" w:eastAsia="等线(中文正文)"/>
          <w:b w:val="false"/>
          <w:i w:val="false"/>
          <w:sz w:val="20"/>
        </w:rPr>
        <w:t/>
      </w:r>
    </w:p>
    <w:p>
      <w:pPr>
        <w:pStyle w:val="ab"/>
      </w:pPr>
      <w:r>
        <w:t>发言人1 问：公司在哪些产品线实现了较高的增长速度？</w:t>
      </w:r>
    </w:p>
    <w:p>
      <w:r>
        <w:rPr>
          <w:rFonts w:ascii="等线(中文正文)" w:hAnsi="等线(中文正文)" w:cs="等线(中文正文)" w:eastAsia="等线(中文正文)"/>
          <w:b w:val="false"/>
          <w:i w:val="false"/>
          <w:sz w:val="20"/>
        </w:rPr>
        <w:t>发言人1 答：公司在电汽车电子产品方面表现突出，HOD（抬头显示系统）和无线充电产品增长迅速，其中HOD上半年出货量突破106万套，同比增长翻倍；无线充电产品上半年出库达到387万套，在去年高基数上仍实现了50%的增长。此外，显示屏业务、销售商预控及数字仪表等产品线也都保持了较好的增长态势。</w:t>
      </w:r>
    </w:p>
    <w:p>
      <w:r>
        <w:rPr>
          <w:rFonts w:ascii="等线(中文正文)" w:hAnsi="等线(中文正文)" w:cs="等线(中文正文)" w:eastAsia="等线(中文正文)"/>
          <w:b w:val="false"/>
          <w:i w:val="false"/>
          <w:sz w:val="20"/>
        </w:rPr>
        <w:t/>
      </w:r>
    </w:p>
    <w:p>
      <w:pPr>
        <w:pStyle w:val="ab"/>
      </w:pPr>
      <w:r>
        <w:t>发言人1 问：客户结构方面有何变化？</w:t>
      </w:r>
    </w:p>
    <w:p>
      <w:r>
        <w:rPr>
          <w:rFonts w:ascii="等线(中文正文)" w:hAnsi="等线(中文正文)" w:cs="等线(中文正文)" w:eastAsia="等线(中文正文)"/>
          <w:b w:val="false"/>
          <w:i w:val="false"/>
          <w:sz w:val="20"/>
        </w:rPr>
        <w:t>发言人1 答：客户结构未发生显著变化，仍以千万达客户为主，包括吉利、长安、长城、奇瑞、北汽、赛力斯和小米等重点客户都有不同程度的增长。尤其是吉利和长安等大客户的业务增长明显，为公司整体营收贡献了较大增幅。</w:t>
      </w:r>
    </w:p>
    <w:p>
      <w:r>
        <w:rPr>
          <w:rFonts w:ascii="等线(中文正文)" w:hAnsi="等线(中文正文)" w:cs="等线(中文正文)" w:eastAsia="等线(中文正文)"/>
          <w:b w:val="false"/>
          <w:i w:val="false"/>
          <w:sz w:val="20"/>
        </w:rPr>
        <w:t/>
      </w:r>
    </w:p>
    <w:p>
      <w:pPr>
        <w:pStyle w:val="ab"/>
      </w:pPr>
      <w:r>
        <w:t>发言人1 问：今年上半年镁合金的增长速度如何？</w:t>
      </w:r>
    </w:p>
    <w:p>
      <w:r>
        <w:rPr>
          <w:rFonts w:ascii="等线(中文正文)" w:hAnsi="等线(中文正文)" w:cs="等线(中文正文)" w:eastAsia="等线(中文正文)"/>
          <w:b w:val="false"/>
          <w:i w:val="false"/>
          <w:sz w:val="20"/>
        </w:rPr>
        <w:t>发言人1 答：今年上半年镁合金的增长速度已经做到了50%以上。</w:t>
      </w:r>
    </w:p>
    <w:p>
      <w:r>
        <w:rPr>
          <w:rFonts w:ascii="等线(中文正文)" w:hAnsi="等线(中文正文)" w:cs="等线(中文正文)" w:eastAsia="等线(中文正文)"/>
          <w:b w:val="false"/>
          <w:i w:val="false"/>
          <w:sz w:val="20"/>
        </w:rPr>
        <w:t/>
      </w:r>
    </w:p>
    <w:p>
      <w:pPr>
        <w:pStyle w:val="ab"/>
      </w:pPr>
      <w:r>
        <w:t>发言人1 问：新手机领域中哪些部分有较快增长？对于下半年以及明年全年座舱这边的一些单品，如SDR做仓库出货量或增速是否有展望或指引？</w:t>
      </w:r>
    </w:p>
    <w:p>
      <w:r>
        <w:rPr>
          <w:rFonts w:ascii="等线(中文正文)" w:hAnsi="等线(中文正文)" w:cs="等线(中文正文)" w:eastAsia="等线(中文正文)"/>
          <w:b w:val="false"/>
          <w:i w:val="false"/>
          <w:sz w:val="20"/>
        </w:rPr>
        <w:t>发言人1 答：新手机领域中，AI领域的光模块壳体和连接器有比较快的增长速度，今年上半年增速在30%以上，特别是供电模块壳体和零部件这一块增速接近50%。我们预计下半年要量产的汽车电子项目大部分是目前在售项目，今年下半年预计的量产订单金额同比翻倍增长。今年下半年有很多重磅车型推出，各个产品会有较好的表现。</w:t>
      </w:r>
    </w:p>
    <w:p>
      <w:r>
        <w:rPr>
          <w:rFonts w:ascii="等线(中文正文)" w:hAnsi="等线(中文正文)" w:cs="等线(中文正文)" w:eastAsia="等线(中文正文)"/>
          <w:b w:val="false"/>
          <w:i w:val="false"/>
          <w:sz w:val="20"/>
        </w:rPr>
        <w:t/>
      </w:r>
    </w:p>
    <w:p>
      <w:pPr>
        <w:pStyle w:val="ab"/>
      </w:pPr>
      <w:r>
        <w:t>发言人1 问：显示屏和预控方面的情况如何？</w:t>
      </w:r>
    </w:p>
    <w:p>
      <w:r>
        <w:rPr>
          <w:rFonts w:ascii="等线(中文正文)" w:hAnsi="等线(中文正文)" w:cs="等线(中文正文)" w:eastAsia="等线(中文正文)"/>
          <w:b w:val="false"/>
          <w:i w:val="false"/>
          <w:sz w:val="20"/>
        </w:rPr>
        <w:t>发言人1 答：显示屏方面，自主车企会继续保持良好订单释放，例如小米昆仑平台等产品；预控方面，今年下半年既有现有客户的增量，也有新客户的拓展，比如长安福特、奇瑞、北汽等都有新项目和量产覆盖。</w:t>
      </w:r>
    </w:p>
    <w:p>
      <w:r>
        <w:rPr>
          <w:rFonts w:ascii="等线(中文正文)" w:hAnsi="等线(中文正文)" w:cs="等线(中文正文)" w:eastAsia="等线(中文正文)"/>
          <w:b w:val="false"/>
          <w:i w:val="false"/>
          <w:sz w:val="20"/>
        </w:rPr>
        <w:t/>
      </w:r>
    </w:p>
    <w:p>
      <w:pPr>
        <w:pStyle w:val="ab"/>
      </w:pPr>
      <w:r>
        <w:t>发言人1 问：COCCOB部分有哪些亮点？</w:t>
      </w:r>
    </w:p>
    <w:p>
      <w:r>
        <w:rPr>
          <w:rFonts w:ascii="等线(中文正文)" w:hAnsi="等线(中文正文)" w:cs="等线(中文正文)" w:eastAsia="等线(中文正文)"/>
          <w:b w:val="false"/>
          <w:i w:val="false"/>
          <w:sz w:val="20"/>
        </w:rPr>
        <w:t>发言人1 答：COCCOB部分亮点较多，包括吉利银河的新拓展项目，以及大众、奇瑞、小鹏等多个车型项目的量产。此外，KHUD项目如长安的KHUD也会在今年量产，无线充电和中控引流系统（AV/AVN）也有多个定点项目。</w:t>
      </w:r>
    </w:p>
    <w:p>
      <w:r>
        <w:rPr>
          <w:rFonts w:ascii="等线(中文正文)" w:hAnsi="等线(中文正文)" w:cs="等线(中文正文)" w:eastAsia="等线(中文正文)"/>
          <w:b w:val="false"/>
          <w:i w:val="false"/>
          <w:sz w:val="20"/>
        </w:rPr>
        <w:t/>
      </w:r>
    </w:p>
    <w:p>
      <w:pPr>
        <w:pStyle w:val="ab"/>
      </w:pPr>
      <w:r>
        <w:t>发言人1 问：智能驭控产品AV/AVN的发展趋势？</w:t>
      </w:r>
    </w:p>
    <w:p>
      <w:r>
        <w:rPr>
          <w:rFonts w:ascii="等线(中文正文)" w:hAnsi="等线(中文正文)" w:cs="等线(中文正文)" w:eastAsia="等线(中文正文)"/>
          <w:b w:val="false"/>
          <w:i w:val="false"/>
          <w:sz w:val="20"/>
        </w:rPr>
        <w:t>发言人1 答：过去几年AV/AVN产品在国内自主车企中的趋势是下降的，但今年由于出口车型销量良好及国际客户的需求增加，该产品呈现回升趋势，性能要求提高，价格也有较好提升。</w:t>
      </w:r>
    </w:p>
    <w:p>
      <w:r>
        <w:rPr>
          <w:rFonts w:ascii="等线(中文正文)" w:hAnsi="等线(中文正文)" w:cs="等线(中文正文)" w:eastAsia="等线(中文正文)"/>
          <w:b w:val="false"/>
          <w:i w:val="false"/>
          <w:sz w:val="20"/>
        </w:rPr>
        <w:t/>
      </w:r>
    </w:p>
    <w:p>
      <w:pPr>
        <w:pStyle w:val="ab"/>
      </w:pPr>
      <w:r>
        <w:t>发言人1 问：关于电子毛利率环比提升的问题？</w:t>
      </w:r>
    </w:p>
    <w:p>
      <w:r>
        <w:rPr>
          <w:rFonts w:ascii="等线(中文正文)" w:hAnsi="等线(中文正文)" w:cs="等线(中文正文)" w:eastAsia="等线(中文正文)"/>
          <w:b w:val="false"/>
          <w:i w:val="false"/>
          <w:sz w:val="20"/>
        </w:rPr>
        <w:t>发言人1 答：通常情况下，一季度毛利率表现最差，二季度会有所好转，三季度和四季度毛利率会更进一步提升。今年由于存储涨价这一特殊因素，对毛利率计算造成一定失真，若剔除存储涨价影响，今年上半年毛利率同比降幅会缩小至一个多点。</w:t>
      </w:r>
    </w:p>
    <w:p>
      <w:r>
        <w:rPr>
          <w:rFonts w:ascii="等线(中文正文)" w:hAnsi="等线(中文正文)" w:cs="等线(中文正文)" w:eastAsia="等线(中文正文)"/>
          <w:b w:val="false"/>
          <w:i w:val="false"/>
          <w:sz w:val="20"/>
        </w:rPr>
        <w:t/>
      </w:r>
    </w:p>
    <w:p>
      <w:pPr>
        <w:pStyle w:val="ab"/>
      </w:pPr>
      <w:r>
        <w:t>发言人1 问：那说回整体的毛利率跟去年同比下降的情况，是因为什么因素导致的呢？</w:t>
      </w:r>
    </w:p>
    <w:p>
      <w:r>
        <w:rPr>
          <w:rFonts w:ascii="等线(中文正文)" w:hAnsi="等线(中文正文)" w:cs="等线(中文正文)" w:eastAsia="等线(中文正文)"/>
          <w:b w:val="false"/>
          <w:i w:val="false"/>
          <w:sz w:val="20"/>
        </w:rPr>
        <w:t>发言人1 答：今年毛利率与去年同比有所下降，主要是由于汽车产业激烈的竞争状态、原材料涨价以及客户需求的廉价水平维持在一个较高水准之下。目前来看，明年是否能有所好转还无法确定。</w:t>
      </w:r>
    </w:p>
    <w:p>
      <w:r>
        <w:rPr>
          <w:rFonts w:ascii="等线(中文正文)" w:hAnsi="等线(中文正文)" w:cs="等线(中文正文)" w:eastAsia="等线(中文正文)"/>
          <w:b w:val="false"/>
          <w:i w:val="false"/>
          <w:sz w:val="20"/>
        </w:rPr>
        <w:t/>
      </w:r>
    </w:p>
    <w:p>
      <w:pPr>
        <w:pStyle w:val="ab"/>
      </w:pPr>
      <w:r>
        <w:t>发言人1 问：那么从长期维度看，毛利率的趋势会如何变化呢？</w:t>
      </w:r>
    </w:p>
    <w:p>
      <w:r>
        <w:rPr>
          <w:rFonts w:ascii="等线(中文正文)" w:hAnsi="等线(中文正文)" w:cs="等线(中文正文)" w:eastAsia="等线(中文正文)"/>
          <w:b w:val="false"/>
          <w:i w:val="false"/>
          <w:sz w:val="20"/>
        </w:rPr>
        <w:t>发言人1 答：如果站在更长的时间维度考虑，这种情况一定会发生变化。由于我们的研发投入较高，长期维持这样的毛利率水平并不现实，因此正常情况下，毛利率应该是往上走的。从今年每个季度的毛利环比来看，会有所提升，全年毛利可能与去年持平或微降。</w:t>
      </w:r>
    </w:p>
    <w:p>
      <w:r>
        <w:rPr>
          <w:rFonts w:ascii="等线(中文正文)" w:hAnsi="等线(中文正文)" w:cs="等线(中文正文)" w:eastAsia="等线(中文正文)"/>
          <w:b w:val="false"/>
          <w:i w:val="false"/>
          <w:sz w:val="20"/>
        </w:rPr>
        <w:t/>
      </w:r>
    </w:p>
    <w:p>
      <w:pPr>
        <w:pStyle w:val="ab"/>
      </w:pPr>
      <w:r>
        <w:t>发言人1 问：关于AI业务的部分，能否提供上半年的收入数据以及最新的在手订单情况？</w:t>
      </w:r>
    </w:p>
    <w:p>
      <w:r>
        <w:rPr>
          <w:rFonts w:ascii="等线(中文正文)" w:hAnsi="等线(中文正文)" w:cs="等线(中文正文)" w:eastAsia="等线(中文正文)"/>
          <w:b w:val="false"/>
          <w:i w:val="false"/>
          <w:sz w:val="20"/>
        </w:rPr>
        <w:t>发言人1 答：今年上半年，AI业务的收入接近4亿，相比去年全年6亿有较好的增长。根据现有订单预计，今年全年AI业务营收目标为8到10亿。目前在手的代购订单保守估计已有20亿以上，接近30亿规模，并且客户群体除了海外客户外，也开始拓展到国内，包括华为在内的客户已接到定点项目。</w:t>
      </w:r>
    </w:p>
    <w:p>
      <w:r>
        <w:rPr>
          <w:rFonts w:ascii="等线(中文正文)" w:hAnsi="等线(中文正文)" w:cs="等线(中文正文)" w:eastAsia="等线(中文正文)"/>
          <w:b w:val="false"/>
          <w:i w:val="false"/>
          <w:sz w:val="20"/>
        </w:rPr>
        <w:t/>
      </w:r>
    </w:p>
    <w:p>
      <w:pPr>
        <w:pStyle w:val="ab"/>
      </w:pPr>
      <w:r>
        <w:t>发言人1 问：对于明年的业绩展望，公司有什么规划？</w:t>
      </w:r>
    </w:p>
    <w:p>
      <w:r>
        <w:rPr>
          <w:rFonts w:ascii="等线(中文正文)" w:hAnsi="等线(中文正文)" w:cs="等线(中文正文)" w:eastAsia="等线(中文正文)"/>
          <w:b w:val="false"/>
          <w:i w:val="false"/>
          <w:sz w:val="20"/>
        </w:rPr>
        <w:t>发言人1 答：我们预计今年做到8到10亿的营收，明年目标为12到14亿。为此，我们已在产能布局上做好准备，包括采购和收购厂房，预计8、9月份投入生产，惠州周边的新中心工厂规划产能约10亿，同时泰国工厂年底投产，预计产能4亿。此外，二季度新增产能已开始投产，加上老产能，预计年底总产能可达10亿。</w:t>
      </w:r>
    </w:p>
    <w:p>
      <w:r>
        <w:rPr>
          <w:rFonts w:ascii="等线(中文正文)" w:hAnsi="等线(中文正文)" w:cs="等线(中文正文)" w:eastAsia="等线(中文正文)"/>
          <w:b w:val="false"/>
          <w:i w:val="false"/>
          <w:sz w:val="20"/>
        </w:rPr>
        <w:t/>
      </w:r>
    </w:p>
    <w:p>
      <w:pPr>
        <w:pStyle w:val="ab"/>
      </w:pPr>
      <w:r>
        <w:t>发言人1 问：关于机器人业务，目前布局进展如何？</w:t>
      </w:r>
    </w:p>
    <w:p>
      <w:r>
        <w:rPr>
          <w:rFonts w:ascii="等线(中文正文)" w:hAnsi="等线(中文正文)" w:cs="等线(中文正文)" w:eastAsia="等线(中文正文)"/>
          <w:b w:val="false"/>
          <w:i w:val="false"/>
          <w:sz w:val="20"/>
        </w:rPr>
        <w:t>发言人1 答：机器人业务方面，关节模组及头部零部件项目进展顺利，预计2027年实现5000万至6000万的营业收入。同时，我们正沿精密制造能力拓展机器人的应用领域，如铝合金和镁合金轻量化精密结构件等，并与英特尔合作开发机器人预控和其他产品。基于车载数字钥匙技术，我们已开发出机器人室内精准定位及交互产品，预计2027年四月份进入量产阶段。</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2026-08-24T17:38:40Z</dcterms:created>
  <dc:creator>Apache POI</dc:creator>
</cp:coreProperties>
</file>