
<file path=[Content_Types].xml><?xml version="1.0" encoding="utf-8"?>
<Types xmlns="http://schemas.openxmlformats.org/package/2006/content-types">
  <Default ContentType="application/vnd.openxmlformats-package.relationships+xml" Extension="rels"/>
  <Default ContentType="application/xml" Extension="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numbering+xml" PartName="/word/numbering.xml"/>
  <Override ContentType="application/vnd.openxmlformats-officedocument.wordprocessingml.settings+xml" PartName="/word/settings.xml"/>
  <Override ContentType="application/vnd.openxmlformats-officedocument.wordprocessingml.styles+xml" PartName="/word/styles.xml"/>
</Types>
</file>

<file path=_rels/.rels><?xml version="1.0" encoding="UTF-8" standalone="yes"?><Relationships xmlns="http://schemas.openxmlformats.org/package/2006/relationships"><Relationship Id="rId1" Target="word/document.xml" Type="http://schemas.openxmlformats.org/officeDocument/2006/relationships/officeDocument"/><Relationship Id="rId2" Target="docProps/app.xml" Type="http://schemas.openxmlformats.org/officeDocument/2006/relationships/extended-properties"/><Relationship Id="rId3" Target="docProps/core.xml" Type="http://schemas.openxmlformats.org/package/2006/relationships/metadata/core-properties"/></Relationships>
</file>

<file path=word/document.xml><?xml version="1.0" encoding="utf-8"?>
<w:document xmlns:w="http://schemas.openxmlformats.org/wordprocessingml/2006/main">
  <w:body>
    <w:p>
      <w:pPr>
        <w:pStyle w:val="ac"/>
      </w:pPr>
      <w:r>
        <w:t>上海能源 260805_导读</w:t>
      </w:r>
    </w:p>
    <w:p>
      <w:pPr>
        <w:pStyle w:val="a0"/>
        <w:jc w:val="center"/>
      </w:pPr>
      <w:r>
        <w:t>2026年08月25日 01:34</w:t>
      </w:r>
    </w:p>
    <w:p>
      <w:pPr>
        <w:pStyle w:val="a7"/>
      </w:pPr>
      <w:r>
        <w:t>关键词</w:t>
      </w:r>
    </w:p>
    <w:p>
      <w:r>
        <w:rPr>
          <w:rFonts w:ascii="等线(中文正文)" w:hAnsi="等线(中文正文)" w:cs="等线(中文正文)" w:eastAsia="等线(中文正文)"/>
          <w:b w:val="false"/>
          <w:i w:val="false"/>
          <w:sz w:val="20"/>
        </w:rPr>
        <w:t xml:space="preserve">上海能源 煤炭 电力 新能源 新疆 江苏 精煤 动力煤 成本 安全 分红 长协 吕四项目 鱼光互补 光伏 煤电运一体化 盈利能力 中煤集团 电网 供暖供热 </w:t>
      </w:r>
    </w:p>
    <w:p>
      <w:r>
        <w:rPr>
          <w:rFonts w:ascii="等线(中文正文)" w:hAnsi="等线(中文正文)" w:cs="等线(中文正文)" w:eastAsia="等线(中文正文)"/>
          <w:b w:val="false"/>
          <w:i w:val="false"/>
          <w:sz w:val="20"/>
        </w:rPr>
        <w:t/>
      </w:r>
    </w:p>
    <w:p>
      <w:pPr>
        <w:pStyle w:val="a7"/>
      </w:pPr>
      <w:r>
        <w:t>全文摘要</w:t>
      </w:r>
    </w:p>
    <w:p>
      <w:r>
        <w:rPr>
          <w:rFonts w:ascii="等线(中文正文)" w:hAnsi="等线(中文正文)" w:cs="等线(中文正文)" w:eastAsia="等线(中文正文)"/>
          <w:b w:val="false"/>
          <w:i w:val="false"/>
          <w:sz w:val="20"/>
        </w:rPr>
        <w:t>上海大同能源股份有限公司，前身大屯矿区自1970年成立，历经隶属于上海市、煤炭部、中煤集团，于1999年正式成立。2001年，公司股票在上海证券交易所上市。业务范围广泛，包括原煤生产、电力、铁路运输及铝加工等。公司目前拥有五座煤矿，合计可采储量达5.86亿吨，电力业务涵盖热电联供、供暖供热等。同时，公司积极布局新能源领域，如光伏发电等。黄亚萌代表分享了公司的盈利情况、分红政策、资本开支，并展望了公司未来发展方向，特别强调了煤电联营的优势及新能源和煤炭产业的未来规划。</w:t>
      </w:r>
    </w:p>
    <w:p>
      <w:r>
        <w:rPr>
          <w:rFonts w:ascii="等线(中文正文)" w:hAnsi="等线(中文正文)" w:cs="等线(中文正文)" w:eastAsia="等线(中文正文)"/>
          <w:b w:val="false"/>
          <w:i w:val="false"/>
          <w:sz w:val="20"/>
        </w:rPr>
        <w:t/>
      </w:r>
    </w:p>
    <w:p>
      <w:pPr>
        <w:pStyle w:val="a7"/>
      </w:pPr>
      <w:r>
        <w:t>章节速览</w:t>
      </w:r>
    </w:p>
    <w:p>
      <w:pPr>
        <w:pStyle w:val="ab"/>
        <w:numPr>
          <w:numId w:val="1"/>
        </w:numPr>
      </w:pPr>
      <w:r>
        <w:t>00:00 上海能源股份有限公司经营情况与业务板块介绍</w:t>
      </w:r>
    </w:p>
    <w:p>
      <w:r>
        <w:rPr>
          <w:rFonts w:ascii="等线(中文正文)" w:hAnsi="等线(中文正文)" w:cs="等线(中文正文)" w:eastAsia="等线(中文正文)"/>
          <w:b w:val="false"/>
          <w:i w:val="false"/>
          <w:sz w:val="20"/>
        </w:rPr>
        <w:t>对话介绍了上海能源股份有限公司的经营历史、产权关系及业务板块。公司前身大屯矿区，现为中煤集团下属企业，业务涵盖原煤生产、电力、铁路运输和铝加工。公司拥有5座煤炭生产矿井，总可采储量5.86亿吨，其中江苏本部三对矿井年产能729万吨，新疆矿井产能180万吨，另有300万吨基建矿井设计产能。公司选煤中心年入选能力达900万吨，主要生产焦煤、气煤、肥煤等优质炼焦配煤。</w:t>
      </w:r>
    </w:p>
    <w:p>
      <w:r>
        <w:rPr>
          <w:rFonts w:ascii="等线(中文正文)" w:hAnsi="等线(中文正文)" w:cs="等线(中文正文)" w:eastAsia="等线(中文正文)"/>
          <w:b w:val="false"/>
          <w:i w:val="false"/>
          <w:sz w:val="20"/>
        </w:rPr>
        <w:t/>
      </w:r>
    </w:p>
    <w:p>
      <w:pPr>
        <w:pStyle w:val="ab"/>
        <w:numPr>
          <w:numId w:val="2"/>
        </w:numPr>
      </w:pPr>
      <w:r>
        <w:t>02:34 煤电一体化与新能源发展：全产业链布局及区域优势</w:t>
      </w:r>
    </w:p>
    <w:p>
      <w:r>
        <w:rPr>
          <w:rFonts w:ascii="等线(中文正文)" w:hAnsi="等线(中文正文)" w:cs="等线(中文正文)" w:eastAsia="等线(中文正文)"/>
          <w:b w:val="false"/>
          <w:i w:val="false"/>
          <w:sz w:val="20"/>
        </w:rPr>
        <w:t>介绍了自上世纪70年代以来，电力板块与煤矿同步发展的历程，形成了包括发电、配电、供热在内的全产业链模式。重点提及了2019年投入商业运行的电热电厂，其年发电量、供暖面积及工业供气能力等数据。同时，强调了新能源公司自成立以来，在光伏项目开发与建设方面的成就，以及通过收购华尔盛西门公司股权，推进大型光伏项目并网的计划。此外，还概述了公司在煤电运一体化模式下的产业互补优势，以及在徐州地区依托优越地理位置和交通条件所形成的区域优势。</w:t>
      </w:r>
    </w:p>
    <w:p>
      <w:r>
        <w:rPr>
          <w:rFonts w:ascii="等线(中文正文)" w:hAnsi="等线(中文正文)" w:cs="等线(中文正文)" w:eastAsia="等线(中文正文)"/>
          <w:b w:val="false"/>
          <w:i w:val="false"/>
          <w:sz w:val="20"/>
        </w:rPr>
        <w:t/>
      </w:r>
    </w:p>
    <w:p>
      <w:pPr>
        <w:pStyle w:val="ab"/>
        <w:numPr>
          <w:numId w:val="3"/>
        </w:numPr>
      </w:pPr>
      <w:r>
        <w:t>06:39 公司持续盈利与分红策略及煤炭生产情况</w:t>
      </w:r>
    </w:p>
    <w:p>
      <w:r>
        <w:rPr>
          <w:rFonts w:ascii="等线(中文正文)" w:hAnsi="等线(中文正文)" w:cs="等线(中文正文)" w:eastAsia="等线(中文正文)"/>
          <w:b w:val="false"/>
          <w:i w:val="false"/>
          <w:sz w:val="20"/>
        </w:rPr>
        <w:t>对话讨论了公司自2001年以来连续25年盈利并累计分红39亿，分红比例超过30%，2025年预计接近100%。同时，提及了公司煤炭生产情况，新疆地区生产因安全管理和基础条件问题受影响，但江苏地区生产状况良好，大同矿区生产未受影响，预计下半年新疆生产将恢复正常。</w:t>
      </w:r>
    </w:p>
    <w:p>
      <w:r>
        <w:rPr>
          <w:rFonts w:ascii="等线(中文正文)" w:hAnsi="等线(中文正文)" w:cs="等线(中文正文)" w:eastAsia="等线(中文正文)"/>
          <w:b w:val="false"/>
          <w:i w:val="false"/>
          <w:sz w:val="20"/>
        </w:rPr>
        <w:t/>
      </w:r>
    </w:p>
    <w:p>
      <w:pPr>
        <w:pStyle w:val="ab"/>
        <w:numPr>
          <w:numId w:val="4"/>
        </w:numPr>
      </w:pPr>
      <w:r>
        <w:t>10:19 煤炭销售价格与长协比例分析</w:t>
      </w:r>
    </w:p>
    <w:p>
      <w:r>
        <w:rPr>
          <w:rFonts w:ascii="等线(中文正文)" w:hAnsi="等线(中文正文)" w:cs="等线(中文正文)" w:eastAsia="等线(中文正文)"/>
          <w:b w:val="false"/>
          <w:i w:val="false"/>
          <w:sz w:val="20"/>
        </w:rPr>
        <w:t>对话主要讨论了二季度精煤和动力煤销售价格相较于一季度的上涨情况，以及长协比例的分布。精煤售价上涨约170元，动力煤价格略有增加，新疆地区地壳煤仍亏损。长协比例总体不到七成，焦煤按月度调整定价，二季度较一季度上调约200元。</w:t>
      </w:r>
    </w:p>
    <w:p>
      <w:r>
        <w:rPr>
          <w:rFonts w:ascii="等线(中文正文)" w:hAnsi="等线(中文正文)" w:cs="等线(中文正文)" w:eastAsia="等线(中文正文)"/>
          <w:b w:val="false"/>
          <w:i w:val="false"/>
          <w:sz w:val="20"/>
        </w:rPr>
        <w:t/>
      </w:r>
    </w:p>
    <w:p>
      <w:pPr>
        <w:pStyle w:val="ab"/>
        <w:numPr>
          <w:numId w:val="5"/>
        </w:numPr>
      </w:pPr>
      <w:r>
        <w:t>12:43 企业销售与成本控制在安全监管下的调整</w:t>
      </w:r>
    </w:p>
    <w:p>
      <w:r>
        <w:rPr>
          <w:rFonts w:ascii="等线(中文正文)" w:hAnsi="等线(中文正文)" w:cs="等线(中文正文)" w:eastAsia="等线(中文正文)"/>
          <w:b w:val="false"/>
          <w:i w:val="false"/>
          <w:sz w:val="20"/>
        </w:rPr>
        <w:t>对话讨论了企业主要销售给宝钢系、中钢和沙钢等钢铁企业，以及新疆地区受安全监管影响可能无法完成年初原煤满产计划。成本方面，预计全年成本较去年下降，但安全和技术投入增加，人工和材料成本可控制，整体成本下降幅度预计为大个位数。</w:t>
      </w:r>
    </w:p>
    <w:p>
      <w:r>
        <w:rPr>
          <w:rFonts w:ascii="等线(中文正文)" w:hAnsi="等线(中文正文)" w:cs="等线(中文正文)" w:eastAsia="等线(中文正文)"/>
          <w:b w:val="false"/>
          <w:i w:val="false"/>
          <w:sz w:val="20"/>
        </w:rPr>
        <w:t/>
      </w:r>
    </w:p>
    <w:p>
      <w:pPr>
        <w:pStyle w:val="ab"/>
        <w:numPr>
          <w:numId w:val="6"/>
        </w:numPr>
      </w:pPr>
      <w:r>
        <w:t>16:38 煤矿与新能源项目进展及经济效益分析</w:t>
      </w:r>
    </w:p>
    <w:p>
      <w:r>
        <w:rPr>
          <w:rFonts w:ascii="等线(中文正文)" w:hAnsi="等线(中文正文)" w:cs="等线(中文正文)" w:eastAsia="等线(中文正文)"/>
          <w:b w:val="false"/>
          <w:i w:val="false"/>
          <w:sz w:val="20"/>
        </w:rPr>
        <w:t>对话围绕煤矿及新能源项目的进展与经济效益展开，提及煤矿预计年内难以投产，但满产后成本可控制在200元以内，具备盈利潜力。新能源项目，即吕四项目，为鱼光互补型，年发电量约6亿度，年利润几千万，通过低成本资金替换负债，提升利润空间。整体策略聚焦煤电一体化，强化企业竞争力。</w:t>
      </w:r>
    </w:p>
    <w:p>
      <w:r>
        <w:rPr>
          <w:rFonts w:ascii="等线(中文正文)" w:hAnsi="等线(中文正文)" w:cs="等线(中文正文)" w:eastAsia="等线(中文正文)"/>
          <w:b w:val="false"/>
          <w:i w:val="false"/>
          <w:sz w:val="20"/>
        </w:rPr>
        <w:t/>
      </w:r>
    </w:p>
    <w:p>
      <w:pPr>
        <w:pStyle w:val="ab"/>
        <w:numPr>
          <w:numId w:val="7"/>
        </w:numPr>
      </w:pPr>
      <w:r>
        <w:t>21:04 煤电一体化与新能源发展策略探讨</w:t>
      </w:r>
    </w:p>
    <w:p>
      <w:r>
        <w:rPr>
          <w:rFonts w:ascii="等线(中文正文)" w:hAnsi="等线(中文正文)" w:cs="等线(中文正文)" w:eastAsia="等线(中文正文)"/>
          <w:b w:val="false"/>
          <w:i w:val="false"/>
          <w:sz w:val="20"/>
        </w:rPr>
        <w:t>对话围绕煤电一体化及新能源资产并购展开，提及政策要求煤炭行业进行煤电一体化改造，以及新能源改造的重要性。讨论了火力发电与新能源发电的规模与增长，特别是太阳能和火力发电项目的建设规模。同时，提到了新疆新开煤矿需配套下游产业，动力煤外运可能性影响煤矿开发策略。中煤集团在火电和新能源领域表现突出，集团要求各地发电与火力发电需配置新能源，强调了煤电联营作为企业策略的重要性。</w:t>
      </w:r>
    </w:p>
    <w:p>
      <w:r>
        <w:rPr>
          <w:rFonts w:ascii="等线(中文正文)" w:hAnsi="等线(中文正文)" w:cs="等线(中文正文)" w:eastAsia="等线(中文正文)"/>
          <w:b w:val="false"/>
          <w:i w:val="false"/>
          <w:sz w:val="20"/>
        </w:rPr>
        <w:t/>
      </w:r>
    </w:p>
    <w:p>
      <w:pPr>
        <w:pStyle w:val="ab"/>
        <w:numPr>
          <w:numId w:val="8"/>
        </w:numPr>
      </w:pPr>
      <w:r>
        <w:t>25:31 江苏矿区煤炭开采深度与产能分析</w:t>
      </w:r>
    </w:p>
    <w:p>
      <w:r>
        <w:rPr>
          <w:rFonts w:ascii="等线(中文正文)" w:hAnsi="等线(中文正文)" w:cs="等线(中文正文)" w:eastAsia="等线(中文正文)"/>
          <w:b w:val="false"/>
          <w:i w:val="false"/>
          <w:sz w:val="20"/>
        </w:rPr>
        <w:t>讨论了江苏矿区焦煤开采的深度与产能情况，指出由于地质条件复杂，部分矿区如孔庄和徐庄增产难度大，而另一矿区可能稍好。整体开采深度在500至800米左右，强调了现有条件下完成产量目标已属不易，超产可能性低。</w:t>
      </w:r>
    </w:p>
    <w:p>
      <w:r>
        <w:rPr>
          <w:rFonts w:ascii="等线(中文正文)" w:hAnsi="等线(中文正文)" w:cs="等线(中文正文)" w:eastAsia="等线(中文正文)"/>
          <w:b w:val="false"/>
          <w:i w:val="false"/>
          <w:sz w:val="20"/>
        </w:rPr>
        <w:t/>
      </w:r>
    </w:p>
    <w:p>
      <w:pPr>
        <w:pStyle w:val="ab"/>
        <w:numPr>
          <w:numId w:val="9"/>
        </w:numPr>
      </w:pPr>
      <w:r>
        <w:t>27:51 铝加工与电力业务盈利分析</w:t>
      </w:r>
    </w:p>
    <w:p>
      <w:r>
        <w:rPr>
          <w:rFonts w:ascii="等线(中文正文)" w:hAnsi="等线(中文正文)" w:cs="等线(中文正文)" w:eastAsia="等线(中文正文)"/>
          <w:b w:val="false"/>
          <w:i w:val="false"/>
          <w:sz w:val="20"/>
        </w:rPr>
        <w:t>对话围绕铝加工业务和电力业务的盈利情况展开，铝加工业务自去年开始盈利，预计2025年实现正向盈利，对销售有较大贡献。电力业务中，新能源装机量增加显著，而火电无新增产能，火电利润受煤价影响波动，新能源保持较好毛利率。企业通过煤电联营保持稳定盈利，容量电价是火电盈利关键。</w:t>
      </w:r>
    </w:p>
    <w:p>
      <w:r>
        <w:rPr>
          <w:rFonts w:ascii="等线(中文正文)" w:hAnsi="等线(中文正文)" w:cs="等线(中文正文)" w:eastAsia="等线(中文正文)"/>
          <w:b w:val="false"/>
          <w:i w:val="false"/>
          <w:sz w:val="20"/>
        </w:rPr>
        <w:t/>
      </w:r>
    </w:p>
    <w:p>
      <w:pPr>
        <w:pStyle w:val="ab"/>
        <w:numPr>
          <w:numId w:val="10"/>
        </w:numPr>
      </w:pPr>
      <w:r>
        <w:t>33:19 下半年煤炭价格走势与电厂接货能力分析</w:t>
      </w:r>
    </w:p>
    <w:p>
      <w:r>
        <w:rPr>
          <w:rFonts w:ascii="等线(中文正文)" w:hAnsi="等线(中文正文)" w:cs="等线(中文正文)" w:eastAsia="等线(中文正文)"/>
          <w:b w:val="false"/>
          <w:i w:val="false"/>
          <w:sz w:val="20"/>
        </w:rPr>
        <w:t>对话讨论了下半年特别是三季度的煤炭价格走势，认为动力煤和配角煤价格稳中有升，下跌可能性小。对于下游电厂的接货能力，目前接受情况尚可，尤其是钢厂，对价格的接受能力较强。新疆部分电厂量小，核心依赖仍为钢厂。</w:t>
      </w:r>
    </w:p>
    <w:p>
      <w:r>
        <w:rPr>
          <w:rFonts w:ascii="等线(中文正文)" w:hAnsi="等线(中文正文)" w:cs="等线(中文正文)" w:eastAsia="等线(中文正文)"/>
          <w:b w:val="false"/>
          <w:i w:val="false"/>
          <w:sz w:val="20"/>
        </w:rPr>
        <w:t/>
      </w:r>
    </w:p>
    <w:p>
      <w:pPr>
        <w:pStyle w:val="ab"/>
        <w:numPr>
          <w:numId w:val="11"/>
        </w:numPr>
      </w:pPr>
      <w:r>
        <w:t>36:36 公司分红政策与资本开支规划</w:t>
      </w:r>
    </w:p>
    <w:p>
      <w:r>
        <w:rPr>
          <w:rFonts w:ascii="等线(中文正文)" w:hAnsi="等线(中文正文)" w:cs="等线(中文正文)" w:eastAsia="等线(中文正文)"/>
          <w:b w:val="false"/>
          <w:i w:val="false"/>
          <w:sz w:val="20"/>
        </w:rPr>
        <w:t>对话围绕公司分红政策展开，强调2020年中期将分红，年度分红不低于30%，并预计分红量将稳中有增。同时，讨论了资本开支对分红的影响，指出当前投资压力不大，分红能力较强。最后，对未来几年公司效益持乐观态度，认为2026年效益将优于2025年，利润稳定性良好。</w:t>
      </w:r>
    </w:p>
    <w:p>
      <w:r>
        <w:rPr>
          <w:rFonts w:ascii="等线(中文正文)" w:hAnsi="等线(中文正文)" w:cs="等线(中文正文)" w:eastAsia="等线(中文正文)"/>
          <w:b w:val="false"/>
          <w:i w:val="false"/>
          <w:sz w:val="20"/>
        </w:rPr>
        <w:t/>
      </w:r>
    </w:p>
    <w:p>
      <w:pPr>
        <w:pStyle w:val="a7"/>
      </w:pPr>
      <w:r>
        <w:t>发言总结</w:t>
      </w:r>
    </w:p>
    <w:p>
      <w:pPr>
        <w:pStyle w:val="ab"/>
        <w:numPr>
          <w:numId w:val="12"/>
        </w:numPr>
      </w:pPr>
      <w:r>
        <w:t>发言人1</w:t>
      </w:r>
    </w:p>
    <w:p>
      <w:r>
        <w:rPr>
          <w:rFonts w:ascii="等线(中文正文)" w:hAnsi="等线(中文正文)" w:cs="等线(中文正文)" w:eastAsia="等线(中文正文)"/>
          <w:b w:val="false"/>
          <w:i w:val="false"/>
          <w:sz w:val="20"/>
        </w:rPr>
        <w:t>首先介绍了上海大同能源股份有限公司（简称“上海能源”，股票代码600508）的历史沿革、业务范围及当前经营状况。公司成立于1970年的大屯矿区，后经过多次重组与改革，现隶属于中煤集团，已成为一家集原煤生产、电力、铁路运输及铝加工于一体的综合性能源企业。他详细阐述了上海能源煤炭与电力业务的现状，指出了公司在新能源项目开发上的进展，同时也分析了公司面临的挑战，并展望了未来的发展方向。
针对煤炭价格波动、电力市场需求变化、资本开支策略以及分红政策等问题，他给出了具体回应，并表达了对公司未来业绩增长的乐观预期。总之，他的发言全面覆盖了上海能源的历史背景、业务布局、面临的机遇与挑战，以及对公司发展前景的积极展望。</w:t>
      </w:r>
    </w:p>
    <w:p>
      <w:r>
        <w:rPr>
          <w:rFonts w:ascii="等线(中文正文)" w:hAnsi="等线(中文正文)" w:cs="等线(中文正文)" w:eastAsia="等线(中文正文)"/>
          <w:b w:val="false"/>
          <w:i w:val="false"/>
          <w:sz w:val="20"/>
        </w:rPr>
        <w:t/>
      </w:r>
    </w:p>
    <w:p>
      <w:pPr>
        <w:pStyle w:val="a7"/>
      </w:pPr>
      <w:r>
        <w:t>问答回顾</w:t>
      </w:r>
    </w:p>
    <w:p>
      <w:pPr>
        <w:pStyle w:val="ab"/>
      </w:pPr>
      <w:r>
        <w:t>发言人1 问：公司近况和经营情况有哪些变化？</w:t>
      </w:r>
    </w:p>
    <w:p>
      <w:r>
        <w:rPr>
          <w:rFonts w:ascii="等线(中文正文)" w:hAnsi="等线(中文正文)" w:cs="等线(中文正文)" w:eastAsia="等线(中文正文)"/>
          <w:b w:val="false"/>
          <w:i w:val="false"/>
          <w:sz w:val="20"/>
        </w:rPr>
        <w:t>发言人1 答：上海大同能源股份有限公司，简称上海能源（股票代码600508），其发展历程包括从1970年的大屯矿区到1999年的上海能源股份有限公司成立，2001年上市。目前，公司产权关系为中煤集团通过中煤能源间接持有，并以煤电联营和煤电与新能源的结合为主要发展方向。</w:t>
      </w:r>
    </w:p>
    <w:p>
      <w:r>
        <w:rPr>
          <w:rFonts w:ascii="等线(中文正文)" w:hAnsi="等线(中文正文)" w:cs="等线(中文正文)" w:eastAsia="等线(中文正文)"/>
          <w:b w:val="false"/>
          <w:i w:val="false"/>
          <w:sz w:val="20"/>
        </w:rPr>
        <w:t/>
      </w:r>
    </w:p>
    <w:p>
      <w:pPr>
        <w:pStyle w:val="ab"/>
      </w:pPr>
      <w:r>
        <w:t>发言人1 问：公司主要业务板块是什么？</w:t>
      </w:r>
    </w:p>
    <w:p>
      <w:r>
        <w:rPr>
          <w:rFonts w:ascii="等线(中文正文)" w:hAnsi="等线(中文正文)" w:cs="等线(中文正文)" w:eastAsia="等线(中文正文)"/>
          <w:b w:val="false"/>
          <w:i w:val="false"/>
          <w:sz w:val="20"/>
        </w:rPr>
        <w:t>发言人1 答：上海能源的核心业务包括原煤生产、电力、铁路运输及铝加工。煤炭方面，公司拥有5座生产煤矿，可采储量达5.86亿吨，年生产能力729万吨；电力板块则形成了发送电、配售电、供暖供热的全产业链发展模式，拥有年发电量约31亿吨的热电联供机组以及独立的售电区域电网输电许可证。</w:t>
      </w:r>
    </w:p>
    <w:p>
      <w:r>
        <w:rPr>
          <w:rFonts w:ascii="等线(中文正文)" w:hAnsi="等线(中文正文)" w:cs="等线(中文正文)" w:eastAsia="等线(中文正文)"/>
          <w:b w:val="false"/>
          <w:i w:val="false"/>
          <w:sz w:val="20"/>
        </w:rPr>
        <w:t/>
      </w:r>
    </w:p>
    <w:p>
      <w:pPr>
        <w:pStyle w:val="ab"/>
      </w:pPr>
      <w:r>
        <w:t>发言人1 问：新能源业务发展情况如何？</w:t>
      </w:r>
    </w:p>
    <w:p>
      <w:r>
        <w:rPr>
          <w:rFonts w:ascii="等线(中文正文)" w:hAnsi="等线(中文正文)" w:cs="等线(中文正文)" w:eastAsia="等线(中文正文)"/>
          <w:b w:val="false"/>
          <w:i w:val="false"/>
          <w:sz w:val="20"/>
        </w:rPr>
        <w:t>发言人1 答：新能源公司成立于2019年，负责开发建设和运营新能源项目，致力于打造网源荷储一体化示范项目和清洁能源基地。目前，光伏发电量已达到47万千瓦，在建项目包括220万和33万千瓦，并购入华华尔盛西门百分百股权，其中启东吕四海域400兆瓦光伏项目预计于2025年12月底全容量并网发电。</w:t>
      </w:r>
    </w:p>
    <w:p>
      <w:r>
        <w:rPr>
          <w:rFonts w:ascii="等线(中文正文)" w:hAnsi="等线(中文正文)" w:cs="等线(中文正文)" w:eastAsia="等线(中文正文)"/>
          <w:b w:val="false"/>
          <w:i w:val="false"/>
          <w:sz w:val="20"/>
        </w:rPr>
        <w:t/>
      </w:r>
    </w:p>
    <w:p>
      <w:pPr>
        <w:pStyle w:val="ab"/>
      </w:pPr>
      <w:r>
        <w:t>发言人1 问：铁路运输业务状况怎样？</w:t>
      </w:r>
    </w:p>
    <w:p>
      <w:r>
        <w:rPr>
          <w:rFonts w:ascii="等线(中文正文)" w:hAnsi="等线(中文正文)" w:cs="等线(中文正文)" w:eastAsia="等线(中文正文)"/>
          <w:b w:val="false"/>
          <w:i w:val="false"/>
          <w:sz w:val="20"/>
        </w:rPr>
        <w:t>发言人1 答：公司拥有中国铁路终结点之一，年运输量达1300万吨。同时，公司还拥有一个10万吨铝加工工厂。</w:t>
      </w:r>
    </w:p>
    <w:p>
      <w:r>
        <w:rPr>
          <w:rFonts w:ascii="等线(中文正文)" w:hAnsi="等线(中文正文)" w:cs="等线(中文正文)" w:eastAsia="等线(中文正文)"/>
          <w:b w:val="false"/>
          <w:i w:val="false"/>
          <w:sz w:val="20"/>
        </w:rPr>
        <w:t/>
      </w:r>
    </w:p>
    <w:p>
      <w:pPr>
        <w:pStyle w:val="ab"/>
      </w:pPr>
      <w:r>
        <w:t>发言人1 问：公司盈利情况及分红政策是怎样的？</w:t>
      </w:r>
    </w:p>
    <w:p>
      <w:r>
        <w:rPr>
          <w:rFonts w:ascii="等线(中文正文)" w:hAnsi="等线(中文正文)" w:cs="等线(中文正文)" w:eastAsia="等线(中文正文)"/>
          <w:b w:val="false"/>
          <w:i w:val="false"/>
          <w:sz w:val="20"/>
        </w:rPr>
        <w:t>发言人1 答：上海能源自2001年上市以来，连续25年实现盈利，累计现金分红21次，分红总额达到39亿，分红比率一直保持在30%以上，2025年有望进一步提高至接近百分百。</w:t>
      </w:r>
    </w:p>
    <w:p>
      <w:r>
        <w:rPr>
          <w:rFonts w:ascii="等线(中文正文)" w:hAnsi="等线(中文正文)" w:cs="等线(中文正文)" w:eastAsia="等线(中文正文)"/>
          <w:b w:val="false"/>
          <w:i w:val="false"/>
          <w:sz w:val="20"/>
        </w:rPr>
        <w:t/>
      </w:r>
    </w:p>
    <w:p>
      <w:pPr>
        <w:pStyle w:val="ab"/>
      </w:pPr>
      <w:r>
        <w:t>发言人1 问：当前原煤产量情况如何？</w:t>
      </w:r>
    </w:p>
    <w:p>
      <w:r>
        <w:rPr>
          <w:rFonts w:ascii="等线(中文正文)" w:hAnsi="等线(中文正文)" w:cs="等线(中文正文)" w:eastAsia="等线(中文正文)"/>
          <w:b w:val="false"/>
          <w:i w:val="false"/>
          <w:sz w:val="20"/>
        </w:rPr>
        <w:t>发言人1 答：目前，公司整体原煤产量有所增长，尤其是电力增长较多，商品煤产量也有所增加。但在新疆地区，由于安全管理和基础条件等因素，动力煤产量有所下降，而精煤产量相对稳定。大同矿区的生产状况整体良好，未受到显著影响。</w:t>
      </w:r>
    </w:p>
    <w:p>
      <w:r>
        <w:rPr>
          <w:rFonts w:ascii="等线(中文正文)" w:hAnsi="等线(中文正文)" w:cs="等线(中文正文)" w:eastAsia="等线(中文正文)"/>
          <w:b w:val="false"/>
          <w:i w:val="false"/>
          <w:sz w:val="20"/>
        </w:rPr>
        <w:t/>
      </w:r>
    </w:p>
    <w:p>
      <w:pPr>
        <w:pStyle w:val="ab"/>
      </w:pPr>
      <w:r>
        <w:t>发言人1 问：下半年的精煤和动力煤售价相较于一季度大概是什么情况？</w:t>
      </w:r>
    </w:p>
    <w:p>
      <w:r>
        <w:rPr>
          <w:rFonts w:ascii="等线(中文正文)" w:hAnsi="等线(中文正文)" w:cs="等线(中文正文)" w:eastAsia="等线(中文正文)"/>
          <w:b w:val="false"/>
          <w:i w:val="false"/>
          <w:sz w:val="20"/>
        </w:rPr>
        <w:t>发言人1 答：精煤和动力煤的售价在二季度比一季度有所上涨，其中精煤价格大约增加了170元左右，动力煤价格也略有增加。</w:t>
      </w:r>
    </w:p>
    <w:p>
      <w:r>
        <w:rPr>
          <w:rFonts w:ascii="等线(中文正文)" w:hAnsi="等线(中文正文)" w:cs="等线(中文正文)" w:eastAsia="等线(中文正文)"/>
          <w:b w:val="false"/>
          <w:i w:val="false"/>
          <w:sz w:val="20"/>
        </w:rPr>
        <w:t/>
      </w:r>
    </w:p>
    <w:p>
      <w:pPr>
        <w:pStyle w:val="ab"/>
      </w:pPr>
      <w:r>
        <w:t>发言人1 问：一季度时，公司一级精煤和动力煤的售价大概是多少？</w:t>
      </w:r>
    </w:p>
    <w:p>
      <w:r>
        <w:rPr>
          <w:rFonts w:ascii="等线(中文正文)" w:hAnsi="等线(中文正文)" w:cs="等线(中文正文)" w:eastAsia="等线(中文正文)"/>
          <w:b w:val="false"/>
          <w:i w:val="false"/>
          <w:sz w:val="20"/>
        </w:rPr>
        <w:t>发言人1 答：一季度时，一级精煤的售价大概在上千元（不含税价），而动力煤的价格大数在小二百元左右。</w:t>
      </w:r>
    </w:p>
    <w:p>
      <w:r>
        <w:rPr>
          <w:rFonts w:ascii="等线(中文正文)" w:hAnsi="等线(中文正文)" w:cs="等线(中文正文)" w:eastAsia="等线(中文正文)"/>
          <w:b w:val="false"/>
          <w:i w:val="false"/>
          <w:sz w:val="20"/>
        </w:rPr>
        <w:t/>
      </w:r>
    </w:p>
    <w:p>
      <w:pPr>
        <w:pStyle w:val="ab"/>
      </w:pPr>
      <w:r>
        <w:t>发言人1 问：目前公司焦煤长协的定价方式以及二季度的调整情况如何？</w:t>
      </w:r>
    </w:p>
    <w:p>
      <w:r>
        <w:rPr>
          <w:rFonts w:ascii="等线(中文正文)" w:hAnsi="等线(中文正文)" w:cs="等线(中文正文)" w:eastAsia="等线(中文正文)"/>
          <w:b w:val="false"/>
          <w:i w:val="false"/>
          <w:sz w:val="20"/>
        </w:rPr>
        <w:t>发言人1 答：焦煤长协是按照月度调整定价，一季度已经确定价格，二季度有较大调整，价格相对一季度大概上调了200一两百块钱。</w:t>
      </w:r>
    </w:p>
    <w:p>
      <w:r>
        <w:rPr>
          <w:rFonts w:ascii="等线(中文正文)" w:hAnsi="等线(中文正文)" w:cs="等线(中文正文)" w:eastAsia="等线(中文正文)"/>
          <w:b w:val="false"/>
          <w:i w:val="false"/>
          <w:sz w:val="20"/>
        </w:rPr>
        <w:t/>
      </w:r>
    </w:p>
    <w:p>
      <w:pPr>
        <w:pStyle w:val="ab"/>
      </w:pPr>
      <w:r>
        <w:t>发言人1 问：江苏地区销售的精美煤主要客户是谁？</w:t>
      </w:r>
    </w:p>
    <w:p>
      <w:r>
        <w:rPr>
          <w:rFonts w:ascii="等线(中文正文)" w:hAnsi="等线(中文正文)" w:cs="等线(中文正文)" w:eastAsia="等线(中文正文)"/>
          <w:b w:val="false"/>
          <w:i w:val="false"/>
          <w:sz w:val="20"/>
        </w:rPr>
        <w:t>发言人1 答：江苏地区销售的精美煤主要客户包括宝钢系（如上海宝钢、湛江钢铁、马钢等）、中钢和沙钢等大型钢铁企业。</w:t>
      </w:r>
    </w:p>
    <w:p>
      <w:r>
        <w:rPr>
          <w:rFonts w:ascii="等线(中文正文)" w:hAnsi="等线(中文正文)" w:cs="等线(中文正文)" w:eastAsia="等线(中文正文)"/>
          <w:b w:val="false"/>
          <w:i w:val="false"/>
          <w:sz w:val="20"/>
        </w:rPr>
        <w:t/>
      </w:r>
    </w:p>
    <w:p>
      <w:pPr>
        <w:pStyle w:val="ab"/>
      </w:pPr>
      <w:r>
        <w:t>发言人1 问：山西事故后，江苏和新疆的生产情况是否受到影响？今年公司全年原煤产量目标以及新疆可能受影响的情况？</w:t>
      </w:r>
    </w:p>
    <w:p>
      <w:r>
        <w:rPr>
          <w:rFonts w:ascii="等线(中文正文)" w:hAnsi="等线(中文正文)" w:cs="等线(中文正文)" w:eastAsia="等线(中文正文)"/>
          <w:b w:val="false"/>
          <w:i w:val="false"/>
          <w:sz w:val="20"/>
        </w:rPr>
        <w:t>发言人1 答：江苏未受到山西事故直接影响，但安全压力更大；而新疆的情况相对较小，也没有命令性减产，但安全检查更严格。年初计划全年原煤产量为909吨，但可能无法完成满产目标，尤其是新疆地区受影响较大，可能无法达到预期。</w:t>
      </w:r>
    </w:p>
    <w:p>
      <w:r>
        <w:rPr>
          <w:rFonts w:ascii="等线(中文正文)" w:hAnsi="等线(中文正文)" w:cs="等线(中文正文)" w:eastAsia="等线(中文正文)"/>
          <w:b w:val="false"/>
          <w:i w:val="false"/>
          <w:sz w:val="20"/>
        </w:rPr>
        <w:t/>
      </w:r>
    </w:p>
    <w:p>
      <w:pPr>
        <w:pStyle w:val="ab"/>
      </w:pPr>
      <w:r>
        <w:t>发言人1 问：今年公司的成本指引如何？预计比去年下降多少？</w:t>
      </w:r>
    </w:p>
    <w:p>
      <w:r>
        <w:rPr>
          <w:rFonts w:ascii="等线(中文正文)" w:hAnsi="等线(中文正文)" w:cs="等线(中文正文)" w:eastAsia="等线(中文正文)"/>
          <w:b w:val="false"/>
          <w:i w:val="false"/>
          <w:sz w:val="20"/>
        </w:rPr>
        <w:t>发言人1 答：预计今年公司成本相较于去年会有所下降，总体上是低个位数水平，但具体降幅暂时不好控制。</w:t>
      </w:r>
    </w:p>
    <w:p>
      <w:r>
        <w:rPr>
          <w:rFonts w:ascii="等线(中文正文)" w:hAnsi="等线(中文正文)" w:cs="等线(中文正文)" w:eastAsia="等线(中文正文)"/>
          <w:b w:val="false"/>
          <w:i w:val="false"/>
          <w:sz w:val="20"/>
        </w:rPr>
        <w:t/>
      </w:r>
    </w:p>
    <w:p>
      <w:pPr>
        <w:pStyle w:val="ab"/>
      </w:pPr>
      <w:r>
        <w:t>发言人1 问：安全投入是否会影响成本，以及伟德煤矿投产时间线？</w:t>
      </w:r>
    </w:p>
    <w:p>
      <w:r>
        <w:rPr>
          <w:rFonts w:ascii="等线(中文正文)" w:hAnsi="等线(中文正文)" w:cs="等线(中文正文)" w:eastAsia="等线(中文正文)"/>
          <w:b w:val="false"/>
          <w:i w:val="false"/>
          <w:sz w:val="20"/>
        </w:rPr>
        <w:t>发言人1 答：安全投入会增加成本，尤其是刚性的安全投入和技术投入，人工成本和材料成本可控制。至于伟德煤矿，今年内投产的可能性较低。</w:t>
      </w:r>
    </w:p>
    <w:p>
      <w:r>
        <w:rPr>
          <w:rFonts w:ascii="等线(中文正文)" w:hAnsi="等线(中文正文)" w:cs="等线(中文正文)" w:eastAsia="等线(中文正文)"/>
          <w:b w:val="false"/>
          <w:i w:val="false"/>
          <w:sz w:val="20"/>
        </w:rPr>
        <w:t/>
      </w:r>
    </w:p>
    <w:p>
      <w:pPr>
        <w:pStyle w:val="ab"/>
      </w:pPr>
      <w:r>
        <w:t>发言人1 问：苇子沟煤制项目的水平、成本和预计收益如何？</w:t>
      </w:r>
    </w:p>
    <w:p>
      <w:r>
        <w:rPr>
          <w:rFonts w:ascii="等线(中文正文)" w:hAnsi="等线(中文正文)" w:cs="等线(中文正文)" w:eastAsia="等线(中文正文)"/>
          <w:b w:val="false"/>
          <w:i w:val="false"/>
          <w:sz w:val="20"/>
        </w:rPr>
        <w:t>发言人1 答：苇子沟煤制项目的优质度高，不洗即可达到5500大卡以上。若满产，成本可以控制在200元以内，应该能实现盈利。</w:t>
      </w:r>
    </w:p>
    <w:p>
      <w:r>
        <w:rPr>
          <w:rFonts w:ascii="等线(中文正文)" w:hAnsi="等线(中文正文)" w:cs="等线(中文正文)" w:eastAsia="等线(中文正文)"/>
          <w:b w:val="false"/>
          <w:i w:val="false"/>
          <w:sz w:val="20"/>
        </w:rPr>
        <w:t/>
      </w:r>
    </w:p>
    <w:p>
      <w:pPr>
        <w:pStyle w:val="ab"/>
      </w:pPr>
      <w:r>
        <w:t>发言人1 问：对于吕四项目（鱼光互补项目）的情况能否介绍一下？</w:t>
      </w:r>
    </w:p>
    <w:p>
      <w:r>
        <w:rPr>
          <w:rFonts w:ascii="等线(中文正文)" w:hAnsi="等线(中文正文)" w:cs="等线(中文正文)" w:eastAsia="等线(中文正文)"/>
          <w:b w:val="false"/>
          <w:i w:val="false"/>
          <w:sz w:val="20"/>
        </w:rPr>
        <w:t>发言人1 答：吕四项目是一个40万千瓦的鱼光互补项目，总投资约20亿，现已建成并网发电。通过替换负债，将利用央企低低成本资金减轻负担，预计年发电量6亿度，年利润几千万元。</w:t>
      </w:r>
    </w:p>
    <w:p>
      <w:r>
        <w:rPr>
          <w:rFonts w:ascii="等线(中文正文)" w:hAnsi="等线(中文正文)" w:cs="等线(中文正文)" w:eastAsia="等线(中文正文)"/>
          <w:b w:val="false"/>
          <w:i w:val="false"/>
          <w:sz w:val="20"/>
        </w:rPr>
        <w:t/>
      </w:r>
    </w:p>
    <w:p>
      <w:pPr>
        <w:pStyle w:val="ab"/>
      </w:pPr>
      <w:r>
        <w:t>发言人1 问：新能源资产并购后在上海能源和江苏沛县等地的布局情况？</w:t>
      </w:r>
    </w:p>
    <w:p>
      <w:r>
        <w:rPr>
          <w:rFonts w:ascii="等线(中文正文)" w:hAnsi="等线(中文正文)" w:cs="等线(中文正文)" w:eastAsia="等线(中文正文)"/>
          <w:b w:val="false"/>
          <w:i w:val="false"/>
          <w:sz w:val="20"/>
        </w:rPr>
        <w:t>发言人1 答：目前已有100多万千瓦的太阳能发电项目，并购新能源资产后将进一步扩大规模，提高盈利能力。虽然从流量角度看新能源对企业的利润贡献逐渐增大，但公司仍专注于煤电一体化发展。</w:t>
      </w:r>
    </w:p>
    <w:p>
      <w:r>
        <w:rPr>
          <w:rFonts w:ascii="等线(中文正文)" w:hAnsi="等线(中文正文)" w:cs="等线(中文正文)" w:eastAsia="等线(中文正文)"/>
          <w:b w:val="false"/>
          <w:i w:val="false"/>
          <w:sz w:val="20"/>
        </w:rPr>
        <w:t/>
      </w:r>
    </w:p>
    <w:p>
      <w:pPr>
        <w:pStyle w:val="ab"/>
      </w:pPr>
      <w:r>
        <w:t>发言人1 问：在江苏地区，由于资源条件限制，为何在火力发电方面的发展可能性较小？</w:t>
      </w:r>
    </w:p>
    <w:p>
      <w:r>
        <w:rPr>
          <w:rFonts w:ascii="等线(中文正文)" w:hAnsi="等线(中文正文)" w:cs="等线(中文正文)" w:eastAsia="等线(中文正文)"/>
          <w:b w:val="false"/>
          <w:i w:val="false"/>
          <w:sz w:val="20"/>
        </w:rPr>
        <w:t>发言人1 答：江苏地区目前主要利用现有资源进行配煤，这种配料用煤并非正常用途。若要发展火力发电，除了自身产生的洗煤副产品外，还需购买动力煤。因此，如果没有外部煤炭生产基地和稳定供应的煤炭流线，火力发电在江苏发展的难度较大。</w:t>
      </w:r>
    </w:p>
    <w:p>
      <w:r>
        <w:rPr>
          <w:rFonts w:ascii="等线(中文正文)" w:hAnsi="等线(中文正文)" w:cs="等线(中文正文)" w:eastAsia="等线(中文正文)"/>
          <w:b w:val="false"/>
          <w:i w:val="false"/>
          <w:sz w:val="20"/>
        </w:rPr>
        <w:t/>
      </w:r>
    </w:p>
    <w:p>
      <w:pPr>
        <w:pStyle w:val="ab"/>
      </w:pPr>
      <w:r>
        <w:t>发言人1 问：煤电联营是集团的要求还是行业普遍现象？</w:t>
      </w:r>
    </w:p>
    <w:p>
      <w:r>
        <w:rPr>
          <w:rFonts w:ascii="等线(中文正文)" w:hAnsi="等线(中文正文)" w:cs="等线(中文正文)" w:eastAsia="等线(中文正文)"/>
          <w:b w:val="false"/>
          <w:i w:val="false"/>
          <w:sz w:val="20"/>
        </w:rPr>
        <w:t>发言人1 答：煤电联营不仅是我们集团的要求，也是整个行业的趋势。中煤集团的王总上台后一直在推动这个政策，并且该集团的火力发电业务增长迅速，无论是已建成还是在建的项目规模都非常大。</w:t>
      </w:r>
    </w:p>
    <w:p>
      <w:r>
        <w:rPr>
          <w:rFonts w:ascii="等线(中文正文)" w:hAnsi="等线(中文正文)" w:cs="等线(中文正文)" w:eastAsia="等线(中文正文)"/>
          <w:b w:val="false"/>
          <w:i w:val="false"/>
          <w:sz w:val="20"/>
        </w:rPr>
        <w:t/>
      </w:r>
    </w:p>
    <w:p>
      <w:pPr>
        <w:pStyle w:val="ab"/>
      </w:pPr>
      <w:r>
        <w:t>发言人1 问：像新疆这样的地方是否会考虑发展火电业务，并且是否有配套下游产业的需求？</w:t>
      </w:r>
    </w:p>
    <w:p>
      <w:r>
        <w:rPr>
          <w:rFonts w:ascii="等线(中文正文)" w:hAnsi="等线(中文正文)" w:cs="等线(中文正文)" w:eastAsia="等线(中文正文)"/>
          <w:b w:val="false"/>
          <w:i w:val="false"/>
          <w:sz w:val="20"/>
        </w:rPr>
        <w:t>发言人1 答：新疆地区确实有可能发展火电业务，尤其是随着新煤矿的开发，需要有下游配套产业。目前虽然还没有找到合适的配套产业，但如果新疆拥有丰富的焦煤或配焦煤资源，就不需要配套电厂；但如果为动力煤且没有外运可能性，则必须配套电源设施。</w:t>
      </w:r>
    </w:p>
    <w:p>
      <w:r>
        <w:rPr>
          <w:rFonts w:ascii="等线(中文正文)" w:hAnsi="等线(中文正文)" w:cs="等线(中文正文)" w:eastAsia="等线(中文正文)"/>
          <w:b w:val="false"/>
          <w:i w:val="false"/>
          <w:sz w:val="20"/>
        </w:rPr>
        <w:t/>
      </w:r>
    </w:p>
    <w:p>
      <w:pPr>
        <w:pStyle w:val="ab"/>
      </w:pPr>
      <w:r>
        <w:t>发言人1 问：江苏矿区焦煤矿的煤炭厚度情况如何？是否存在超产风险？</w:t>
      </w:r>
    </w:p>
    <w:p>
      <w:r>
        <w:rPr>
          <w:rFonts w:ascii="等线(中文正文)" w:hAnsi="等线(中文正文)" w:cs="等线(中文正文)" w:eastAsia="等线(中文正文)"/>
          <w:b w:val="false"/>
          <w:i w:val="false"/>
          <w:sz w:val="20"/>
        </w:rPr>
        <w:t>发言人1 答：江苏矿区焦煤矿的煤炭厚度条件较为复杂，存在煤炭厚度过薄导致干湿量增多，从而可能容易超产的情况。不过，由于江苏矿区地质条件特殊，能够稳定完成产量就已经很不容易，尤其是孔庄和徐庄两个小矿井，增产空间有限，因此对整体产量影响不大。</w:t>
      </w:r>
    </w:p>
    <w:p>
      <w:r>
        <w:rPr>
          <w:rFonts w:ascii="等线(中文正文)" w:hAnsi="等线(中文正文)" w:cs="等线(中文正文)" w:eastAsia="等线(中文正文)"/>
          <w:b w:val="false"/>
          <w:i w:val="false"/>
          <w:sz w:val="20"/>
        </w:rPr>
        <w:t/>
      </w:r>
    </w:p>
    <w:p>
      <w:pPr>
        <w:pStyle w:val="ab"/>
      </w:pPr>
      <w:r>
        <w:t>发言人1 问：目前焦煤矿整体开采深度大概是多少？</w:t>
      </w:r>
    </w:p>
    <w:p>
      <w:r>
        <w:rPr>
          <w:rFonts w:ascii="等线(中文正文)" w:hAnsi="等线(中文正文)" w:cs="等线(中文正文)" w:eastAsia="等线(中文正文)"/>
          <w:b w:val="false"/>
          <w:i w:val="false"/>
          <w:sz w:val="20"/>
        </w:rPr>
        <w:t>发言人1 答：新一点疗效的开采深度大约在800米左右，而剩下的两个矿井则超过了800米。</w:t>
      </w:r>
    </w:p>
    <w:p>
      <w:r>
        <w:rPr>
          <w:rFonts w:ascii="等线(中文正文)" w:hAnsi="等线(中文正文)" w:cs="等线(中文正文)" w:eastAsia="等线(中文正文)"/>
          <w:b w:val="false"/>
          <w:i w:val="false"/>
          <w:sz w:val="20"/>
        </w:rPr>
        <w:t/>
      </w:r>
    </w:p>
    <w:p>
      <w:pPr>
        <w:pStyle w:val="ab"/>
      </w:pPr>
      <w:r>
        <w:t>发言人1 问：铝加工业务今年的盈利状况如何？</w:t>
      </w:r>
    </w:p>
    <w:p>
      <w:r>
        <w:rPr>
          <w:rFonts w:ascii="等线(中文正文)" w:hAnsi="等线(中文正文)" w:cs="等线(中文正文)" w:eastAsia="等线(中文正文)"/>
          <w:b w:val="false"/>
          <w:i w:val="false"/>
          <w:sz w:val="20"/>
        </w:rPr>
        <w:t>发言人1 答：铝加工业务今年盈利情况良好，自去年开始盈利，今年上半年预计有千万级的盈利，尽管利润贡献相比销售贡献较小，但已经实现了正向的净利润。</w:t>
      </w:r>
    </w:p>
    <w:p>
      <w:r>
        <w:rPr>
          <w:rFonts w:ascii="等线(中文正文)" w:hAnsi="等线(中文正文)" w:cs="等线(中文正文)" w:eastAsia="等线(中文正文)"/>
          <w:b w:val="false"/>
          <w:i w:val="false"/>
          <w:sz w:val="20"/>
        </w:rPr>
        <w:t/>
      </w:r>
    </w:p>
    <w:p>
      <w:pPr>
        <w:pStyle w:val="ab"/>
      </w:pPr>
      <w:r>
        <w:t>发言人1 问：今年上半年电力方面特别是新能源和火电的运营情况怎样？</w:t>
      </w:r>
    </w:p>
    <w:p>
      <w:r>
        <w:rPr>
          <w:rFonts w:ascii="等线(中文正文)" w:hAnsi="等线(中文正文)" w:cs="等线(中文正文)" w:eastAsia="等线(中文正文)"/>
          <w:b w:val="false"/>
          <w:i w:val="false"/>
          <w:sz w:val="20"/>
        </w:rPr>
        <w:t>发言人1 答：今年上半年，新能源部分的运营状况优于火电，尤其是新能源装机新增量比预期要好。而在江苏地区，尽管没有新的火电产能获批，但新能源特别是风力发电的装机量增长较快，整体运转情况良好。此外，火电与新能源的结合仍然是行业普遍现象，且在煤炭效益不佳时，火电效益通常较好。</w:t>
      </w:r>
    </w:p>
    <w:p>
      <w:r>
        <w:rPr>
          <w:rFonts w:ascii="等线(中文正文)" w:hAnsi="等线(中文正文)" w:cs="等线(中文正文)" w:eastAsia="等线(中文正文)"/>
          <w:b w:val="false"/>
          <w:i w:val="false"/>
          <w:sz w:val="20"/>
        </w:rPr>
        <w:t/>
      </w:r>
    </w:p>
    <w:p>
      <w:pPr>
        <w:pStyle w:val="ab"/>
      </w:pPr>
      <w:r>
        <w:t>发言人1 问：这家公司的火电规模如何，以及它对利润的影响是怎样的？</w:t>
      </w:r>
    </w:p>
    <w:p>
      <w:r>
        <w:rPr>
          <w:rFonts w:ascii="等线(中文正文)" w:hAnsi="等线(中文正文)" w:cs="等线(中文正文)" w:eastAsia="等线(中文正文)"/>
          <w:b w:val="false"/>
          <w:i w:val="false"/>
          <w:sz w:val="20"/>
        </w:rPr>
        <w:t>发言人1 答：虽然火电规模不大，但对该公司而言规模也不小。在煤价最低时，火电业务能带来约2亿左右的利润，而当煤价较高时，火电可能成为负担。不过，由于其对煤价波动的敏感性，一旦煤价下降，火电业务会有显著的正向影响，对企业的整体稳定性起到积极作用。</w:t>
      </w:r>
    </w:p>
    <w:p>
      <w:r>
        <w:rPr>
          <w:rFonts w:ascii="等线(中文正文)" w:hAnsi="等线(中文正文)" w:cs="等线(中文正文)" w:eastAsia="等线(中文正文)"/>
          <w:b w:val="false"/>
          <w:i w:val="false"/>
          <w:sz w:val="20"/>
        </w:rPr>
        <w:t/>
      </w:r>
    </w:p>
    <w:p>
      <w:pPr>
        <w:pStyle w:val="ab"/>
      </w:pPr>
      <w:r>
        <w:t>发言人1 问：今年火电利润与去年相比是同比提升还是下降？</w:t>
      </w:r>
    </w:p>
    <w:p>
      <w:r>
        <w:rPr>
          <w:rFonts w:ascii="等线(中文正文)" w:hAnsi="等线(中文正文)" w:cs="等线(中文正文)" w:eastAsia="等线(中文正文)"/>
          <w:b w:val="false"/>
          <w:i w:val="false"/>
          <w:sz w:val="20"/>
        </w:rPr>
        <w:t>发言人1 答：今年上半年火电利润相比去年是下降的，特别是第一季度降幅较大。火电利润降低的主要原因包括煤价上涨导致成本增加以及新能源发电量的增长。不过，火电的生存和盈利关键还依赖于国家给予的容量电价补贴。</w:t>
      </w:r>
    </w:p>
    <w:p>
      <w:r>
        <w:rPr>
          <w:rFonts w:ascii="等线(中文正文)" w:hAnsi="等线(中文正文)" w:cs="等线(中文正文)" w:eastAsia="等线(中文正文)"/>
          <w:b w:val="false"/>
          <w:i w:val="false"/>
          <w:sz w:val="20"/>
        </w:rPr>
        <w:t/>
      </w:r>
    </w:p>
    <w:p>
      <w:pPr>
        <w:pStyle w:val="ab"/>
      </w:pPr>
      <w:r>
        <w:t>发言人1 问：对于下半年整体电价的判断是怎样的？</w:t>
      </w:r>
    </w:p>
    <w:p>
      <w:r>
        <w:rPr>
          <w:rFonts w:ascii="等线(中文正文)" w:hAnsi="等线(中文正文)" w:cs="等线(中文正文)" w:eastAsia="等线(中文正文)"/>
          <w:b w:val="false"/>
          <w:i w:val="false"/>
          <w:sz w:val="20"/>
        </w:rPr>
        <w:t>发言人1 答：预计下半年整体电价将有所回升，尤其是9月和10月，总体上价格下跌的可能性较小，不太可能出现一季度那样的低谷。长期来看，火电和新能源电价将以稳定或微涨为主，其中动力煤价格可能会有所下跌，但焦煤价格相对坚挺，尤其是配角煤种。</w:t>
      </w:r>
    </w:p>
    <w:p>
      <w:r>
        <w:rPr>
          <w:rFonts w:ascii="等线(中文正文)" w:hAnsi="等线(中文正文)" w:cs="等线(中文正文)" w:eastAsia="等线(中文正文)"/>
          <w:b w:val="false"/>
          <w:i w:val="false"/>
          <w:sz w:val="20"/>
        </w:rPr>
        <w:t/>
      </w:r>
    </w:p>
    <w:p>
      <w:pPr>
        <w:pStyle w:val="ab"/>
      </w:pPr>
      <w:r>
        <w:t>发言人1 问：关于三季度焦煤和动力煤价格走势的判断是什么？</w:t>
      </w:r>
    </w:p>
    <w:p>
      <w:r>
        <w:rPr>
          <w:rFonts w:ascii="等线(中文正文)" w:hAnsi="等线(中文正文)" w:cs="等线(中文正文)" w:eastAsia="等线(中文正文)"/>
          <w:b w:val="false"/>
          <w:i w:val="false"/>
          <w:sz w:val="20"/>
        </w:rPr>
        <w:t>发言人1 答：预计三季度焦煤和动力煤价格将稳中有涨，特别是配角煤种会有一定支撑。供应方面的变化会影响价格走势，山西地区的供应情况会对价格产生影响。目前钢厂对煤炭的接受能力较强，而电厂接货意愿则因地区不同有所差异。</w:t>
      </w:r>
    </w:p>
    <w:p>
      <w:r>
        <w:rPr>
          <w:rFonts w:ascii="等线(中文正文)" w:hAnsi="等线(中文正文)" w:cs="等线(中文正文)" w:eastAsia="等线(中文正文)"/>
          <w:b w:val="false"/>
          <w:i w:val="false"/>
          <w:sz w:val="20"/>
        </w:rPr>
        <w:t/>
      </w:r>
    </w:p>
    <w:p>
      <w:pPr>
        <w:pStyle w:val="ab"/>
      </w:pPr>
      <w:r>
        <w:t>发言人1 问：关于分红率的规划是怎样的？</w:t>
      </w:r>
    </w:p>
    <w:p>
      <w:r>
        <w:rPr>
          <w:rFonts w:ascii="等线(中文正文)" w:hAnsi="等线(中文正文)" w:cs="等线(中文正文)" w:eastAsia="等线(中文正文)"/>
          <w:b w:val="false"/>
          <w:i w:val="false"/>
          <w:sz w:val="20"/>
        </w:rPr>
        <w:t>发言人1 答：公司中期分红是确定的，2020年中期分红已通过董事会和股东会审议。对于年度分红，章程规定不低于30%，并且预计整体分红将稳中有增，但实际分红量会根据当年利润增加情况来决定。</w:t>
      </w:r>
    </w:p>
    <w:p>
      <w:r>
        <w:rPr>
          <w:rFonts w:ascii="等线(中文正文)" w:hAnsi="等线(中文正文)" w:cs="等线(中文正文)" w:eastAsia="等线(中文正文)"/>
          <w:b w:val="false"/>
          <w:i w:val="false"/>
          <w:sz w:val="20"/>
        </w:rPr>
        <w:t/>
      </w:r>
    </w:p>
    <w:p>
      <w:pPr>
        <w:pStyle w:val="ab"/>
      </w:pPr>
      <w:r>
        <w:t>发言人1 问：资本开支水平大概情况如何？</w:t>
      </w:r>
    </w:p>
    <w:p>
      <w:r>
        <w:rPr>
          <w:rFonts w:ascii="等线(中文正文)" w:hAnsi="等线(中文正文)" w:cs="等线(中文正文)" w:eastAsia="等线(中文正文)"/>
          <w:b w:val="false"/>
          <w:i w:val="false"/>
          <w:sz w:val="20"/>
        </w:rPr>
        <w:t>发言人1 答：公司的资本开支主要包括沟矿建设和新能源投资，两者均为10亿级左右，对现有现金流的影响不大，因此不会影响分红压力。</w:t>
      </w:r>
    </w:p>
    <w:p>
      <w:r>
        <w:rPr>
          <w:rFonts w:ascii="等线(中文正文)" w:hAnsi="等线(中文正文)" w:cs="等线(中文正文)" w:eastAsia="等线(中文正文)"/>
          <w:b w:val="false"/>
          <w:i w:val="false"/>
          <w:sz w:val="20"/>
        </w:rPr>
        <w:t/>
      </w:r>
    </w:p>
    <w:p>
      <w:pPr>
        <w:pStyle w:val="ab"/>
      </w:pPr>
      <w:r>
        <w:t>发言人1 问：对于未来投资者有什么强调或总结的内容？</w:t>
      </w:r>
    </w:p>
    <w:p>
      <w:r>
        <w:rPr>
          <w:rFonts w:ascii="等线(中文正文)" w:hAnsi="等线(中文正文)" w:cs="等线(中文正文)" w:eastAsia="等线(中文正文)"/>
          <w:b w:val="false"/>
          <w:i w:val="false"/>
          <w:sz w:val="20"/>
        </w:rPr>
        <w:t>发言人1 答：总结而言，2026年的效益预计会好于2025年，且江苏地区的配角煤业务若利润得到保障，加上火电的稳定贡献，公司有能力实现较好的整体效益。2025年的特殊情况在未来两三年内应较少出现。希望投资者投资顺利。</w:t>
      </w:r>
    </w:p>
    <w:p>
      <w:r>
        <w:rPr>
          <w:rFonts w:ascii="等线(中文正文)" w:hAnsi="等线(中文正文)" w:cs="等线(中文正文)" w:eastAsia="等线(中文正文)"/>
          <w:b w:val="false"/>
          <w:i w:val="false"/>
          <w:sz w:val="20"/>
        </w:rPr>
        <w:t/>
      </w:r>
    </w:p>
  </w:body>
</w:document>
</file>

<file path=word/numbering.xml><?xml version="1.0" encoding="utf-8"?>
<w:numbering xmlns:w="http://schemas.openxmlformats.org/wordprocessingml/2006/main">
  <w:abstractNum w:abstractNumId="0">
    <w:lvl w:ilvl="0">
      <w:start w:val="1"/>
      <w:numFmt w:val="bullet"/>
      <w:lvlText w:val="l"/>
      <w:lvlJc w:val="left"/>
      <w:pPr>
        <w:ind w:left="360" w:hanging="360"/>
      </w:pPr>
      <w:rPr>
        <w:rFonts w:ascii="Wingdings" w:hAnsi="Wingdings" w:hint="default"/>
      </w:rPr>
    </w:lvl>
  </w:abstractNum>
  <w:abstractNum w:abstractNumId="0">
    <w:lvl w:ilvl="0">
      <w:start w:val="1"/>
      <w:numFmt w:val="bullet"/>
      <w:lvlText w:val="l"/>
      <w:lvlJc w:val="left"/>
      <w:pPr>
        <w:ind w:left="360" w:hanging="360"/>
      </w:pPr>
      <w:rPr>
        <w:rFonts w:ascii="Wingdings" w:hAnsi="Wingdings" w:hint="default"/>
      </w:rPr>
    </w:lvl>
  </w:abstractNum>
  <w:abstractNum w:abstractNumId="0">
    <w:lvl w:ilvl="0">
      <w:start w:val="1"/>
      <w:numFmt w:val="bullet"/>
      <w:lvlText w:val="l"/>
      <w:lvlJc w:val="left"/>
      <w:pPr>
        <w:ind w:left="360" w:hanging="360"/>
      </w:pPr>
      <w:rPr>
        <w:rFonts w:ascii="Wingdings" w:hAnsi="Wingdings" w:hint="default"/>
      </w:rPr>
    </w:lvl>
  </w:abstractNum>
  <w:abstractNum w:abstractNumId="0">
    <w:lvl w:ilvl="0">
      <w:start w:val="1"/>
      <w:numFmt w:val="bullet"/>
      <w:lvlText w:val="l"/>
      <w:lvlJc w:val="left"/>
      <w:pPr>
        <w:ind w:left="360" w:hanging="360"/>
      </w:pPr>
      <w:rPr>
        <w:rFonts w:ascii="Wingdings" w:hAnsi="Wingdings" w:hint="default"/>
      </w:rPr>
    </w:lvl>
  </w:abstractNum>
  <w:abstractNum w:abstractNumId="0">
    <w:lvl w:ilvl="0">
      <w:start w:val="1"/>
      <w:numFmt w:val="bullet"/>
      <w:lvlText w:val="l"/>
      <w:lvlJc w:val="left"/>
      <w:pPr>
        <w:ind w:left="360" w:hanging="360"/>
      </w:pPr>
      <w:rPr>
        <w:rFonts w:ascii="Wingdings" w:hAnsi="Wingdings" w:hint="default"/>
      </w:rPr>
    </w:lvl>
  </w:abstractNum>
  <w:abstractNum w:abstractNumId="0">
    <w:lvl w:ilvl="0">
      <w:start w:val="1"/>
      <w:numFmt w:val="bullet"/>
      <w:lvlText w:val="l"/>
      <w:lvlJc w:val="left"/>
      <w:pPr>
        <w:ind w:left="360" w:hanging="360"/>
      </w:pPr>
      <w:rPr>
        <w:rFonts w:ascii="Wingdings" w:hAnsi="Wingdings" w:hint="default"/>
      </w:rPr>
    </w:lvl>
  </w:abstractNum>
  <w:abstractNum w:abstractNumId="0">
    <w:lvl w:ilvl="0">
      <w:start w:val="1"/>
      <w:numFmt w:val="bullet"/>
      <w:lvlText w:val="l"/>
      <w:lvlJc w:val="left"/>
      <w:pPr>
        <w:ind w:left="360" w:hanging="360"/>
      </w:pPr>
      <w:rPr>
        <w:rFonts w:ascii="Wingdings" w:hAnsi="Wingdings" w:hint="default"/>
      </w:rPr>
    </w:lvl>
  </w:abstractNum>
  <w:abstractNum w:abstractNumId="0">
    <w:lvl w:ilvl="0">
      <w:start w:val="1"/>
      <w:numFmt w:val="bullet"/>
      <w:lvlText w:val="l"/>
      <w:lvlJc w:val="left"/>
      <w:pPr>
        <w:ind w:left="360" w:hanging="360"/>
      </w:pPr>
      <w:rPr>
        <w:rFonts w:ascii="Wingdings" w:hAnsi="Wingdings" w:hint="default"/>
      </w:rPr>
    </w:lvl>
  </w:abstractNum>
  <w:abstractNum w:abstractNumId="0">
    <w:lvl w:ilvl="0">
      <w:start w:val="1"/>
      <w:numFmt w:val="bullet"/>
      <w:lvlText w:val="l"/>
      <w:lvlJc w:val="left"/>
      <w:pPr>
        <w:ind w:left="360" w:hanging="360"/>
      </w:pPr>
      <w:rPr>
        <w:rFonts w:ascii="Wingdings" w:hAnsi="Wingdings" w:hint="default"/>
      </w:rPr>
    </w:lvl>
  </w:abstractNum>
  <w:abstractNum w:abstractNumId="0">
    <w:lvl w:ilvl="0">
      <w:start w:val="1"/>
      <w:numFmt w:val="bullet"/>
      <w:lvlText w:val="l"/>
      <w:lvlJc w:val="left"/>
      <w:pPr>
        <w:ind w:left="360" w:hanging="360"/>
      </w:pPr>
      <w:rPr>
        <w:rFonts w:ascii="Wingdings" w:hAnsi="Wingdings" w:hint="default"/>
      </w:rPr>
    </w:lvl>
  </w:abstractNum>
  <w:abstractNum w:abstractNumId="0">
    <w:lvl w:ilvl="0">
      <w:start w:val="1"/>
      <w:numFmt w:val="bullet"/>
      <w:lvlText w:val="l"/>
      <w:lvlJc w:val="left"/>
      <w:pPr>
        <w:ind w:left="360" w:hanging="360"/>
      </w:pPr>
      <w:rPr>
        <w:rFonts w:ascii="Wingdings" w:hAnsi="Wingdings" w:hint="default"/>
      </w:rPr>
    </w:lvl>
  </w:abstractNum>
  <w:abstractNum w:abstractNumId="0">
    <w:lvl w:ilvl="0">
      <w:start w:val="1"/>
      <w:numFmt w:val="bullet"/>
      <w:lvlText w:val="l"/>
      <w:lvlJc w:val="left"/>
      <w:pPr>
        <w:ind w:left="360" w:hanging="360"/>
      </w:pPr>
      <w:rPr>
        <w:rFonts w:ascii="Wingdings" w:hAnsi="Wingdings" w:hint="default"/>
      </w:rPr>
    </w:lvl>
  </w:abstractNum>
  <w:num w:numId="1">
    <w:abstractNumId w:val="0"/>
  </w:num>
  <w:num w:numId="2">
    <w:abstractNumId w:val="0"/>
  </w:num>
  <w:num w:numId="3">
    <w:abstractNumId w:val="0"/>
  </w:num>
  <w:num w:numId="4">
    <w:abstractNumId w:val="0"/>
  </w:num>
  <w:num w:numId="5">
    <w:abstractNumId w:val="0"/>
  </w:num>
  <w:num w:numId="6">
    <w:abstractNumId w:val="0"/>
  </w:num>
  <w:num w:numId="7">
    <w:abstractNumId w:val="0"/>
  </w:num>
  <w:num w:numId="8">
    <w:abstractNumId w:val="0"/>
  </w:num>
  <w:num w:numId="9">
    <w:abstractNumId w:val="0"/>
  </w:num>
  <w:num w:numId="10">
    <w:abstractNumId w:val="0"/>
  </w:num>
  <w:num w:numId="11">
    <w:abstractNumId w:val="0"/>
  </w:num>
  <w:num w:numId="12">
    <w:abstractNumId w:val="0"/>
  </w:num>
</w:numbering>
</file>

<file path=word/settings.xml><?xml version="1.0" encoding="utf-8"?>
<w:settings xmlns:w="http://schemas.openxmlformats.org/wordprocessingml/2006/main"/>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4"/>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0">
    <w:name w:val="Normal"/>
    <w:qFormat/>
    <w:rsid w:val="003139B0"/>
    <w:pPr>
      <w:widowControl w:val="0"/>
      <w:spacing w:line="360" w:lineRule="auto"/>
      <w:jc w:val="both"/>
    </w:pPr>
    <w:rPr>
      <w:color w:val="404040" w:themeColor="text1" w:themeTint="BF"/>
    </w:rPr>
  </w:style>
  <w:style w:type="paragraph" w:styleId="2">
    <w:name w:val="heading 2"/>
    <w:basedOn w:val="a0"/>
    <w:next w:val="a0"/>
    <w:link w:val="21"/>
    <w:uiPriority w:val="9"/>
    <w:unhideWhenUsed/>
    <w:qFormat/>
    <w:rsid w:val="006267B3"/>
    <w:pPr>
      <w:keepNext/>
      <w:keepLines/>
      <w:spacing w:before="260" w:after="260" w:line="416" w:lineRule="auto"/>
      <w:jc w:val="left"/>
      <w:outlineLvl w:val="1"/>
    </w:pPr>
    <w:rPr>
      <w:rFonts w:asciiTheme="majorHAnsi" w:hAnsiTheme="majorHAnsi" w:cstheme="majorBidi"/>
      <w:bCs/>
      <w:color w:val="27264D"/>
      <w:sz w:val="30"/>
      <w:szCs w:val="32"/>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4">
    <w:name w:val="Title"/>
    <w:basedOn w:val="a0"/>
    <w:next w:val="a0"/>
    <w:link w:val="a5"/>
    <w:uiPriority w:val="10"/>
    <w:qFormat/>
    <w:rsid w:val="008E22A6"/>
    <w:pPr>
      <w:spacing w:before="240" w:after="60"/>
      <w:jc w:val="center"/>
      <w:outlineLvl w:val="0"/>
    </w:pPr>
    <w:rPr>
      <w:rFonts w:asciiTheme="majorHAnsi" w:eastAsiaTheme="majorEastAsia" w:hAnsiTheme="majorHAnsi" w:cstheme="majorBidi"/>
      <w:b/>
      <w:bCs/>
      <w:sz w:val="32"/>
      <w:szCs w:val="32"/>
    </w:rPr>
  </w:style>
  <w:style w:type="character" w:customStyle="1" w:styleId="a5">
    <w:name w:val="标题 字符"/>
    <w:basedOn w:val="a1"/>
    <w:link w:val="a4"/>
    <w:uiPriority w:val="10"/>
    <w:rsid w:val="008E22A6"/>
    <w:rPr>
      <w:rFonts w:asciiTheme="majorHAnsi" w:eastAsiaTheme="majorEastAsia" w:hAnsiTheme="majorHAnsi" w:cstheme="majorBidi"/>
      <w:b/>
      <w:bCs/>
      <w:sz w:val="32"/>
      <w:szCs w:val="32"/>
    </w:rPr>
  </w:style>
  <w:style w:type="character" w:customStyle="1" w:styleId="21">
    <w:name w:val="标题 2 字符"/>
    <w:basedOn w:val="a1"/>
    <w:link w:val="2"/>
    <w:uiPriority w:val="9"/>
    <w:rsid w:val="006267B3"/>
    <w:rPr>
      <w:rFonts w:asciiTheme="majorHAnsi" w:eastAsia="微软雅黑" w:hAnsiTheme="majorHAnsi" w:cstheme="majorBidi"/>
      <w:bCs/>
      <w:color w:val="27264D"/>
      <w:sz w:val="30"/>
      <w:szCs w:val="32"/>
    </w:rPr>
  </w:style>
  <w:style w:type="character" w:styleId="a6">
    <w:name w:val="Strong"/>
    <w:basedOn w:val="a1"/>
    <w:uiPriority w:val="22"/>
    <w:qFormat/>
    <w:rsid w:val="006267B3"/>
    <w:rPr>
      <w:rFonts w:eastAsia="微软雅黑"/>
      <w:b/>
      <w:bCs/>
      <w:i w:val="0"/>
      <w:color w:val="27264D"/>
    </w:rPr>
  </w:style>
  <w:style w:type="paragraph" w:customStyle="1" w:styleId="a7">
    <w:name w:val="一级标题"/>
    <w:basedOn w:val="a8"/>
    <w:autoRedefine/>
    <w:qFormat/>
    <w:rsid w:val="00511359"/>
    <w:pPr>
      <w:jc w:val="left"/>
    </w:pPr>
    <w:rPr>
      <w:bCs w:val="0"/>
      <w:color w:val="000000" w:themeColor="text1"/>
      <w:sz w:val="30"/>
    </w:rPr>
  </w:style>
  <w:style w:type="paragraph" w:styleId="a8">
    <w:name w:val="Subtitle"/>
    <w:basedOn w:val="a0"/>
    <w:next w:val="a0"/>
    <w:link w:val="a9"/>
    <w:uiPriority w:val="11"/>
    <w:qFormat/>
    <w:rsid w:val="006267B3"/>
    <w:pPr>
      <w:spacing w:before="240" w:after="60" w:line="312" w:lineRule="auto"/>
      <w:jc w:val="center"/>
      <w:outlineLvl w:val="1"/>
    </w:pPr>
    <w:rPr>
      <w:b/>
      <w:bCs/>
      <w:kern w:val="28"/>
      <w:sz w:val="32"/>
      <w:szCs w:val="32"/>
    </w:rPr>
  </w:style>
  <w:style w:type="character" w:customStyle="1" w:styleId="a9">
    <w:name w:val="副标题 字符"/>
    <w:basedOn w:val="a1"/>
    <w:link w:val="a8"/>
    <w:uiPriority w:val="11"/>
    <w:rsid w:val="006267B3"/>
    <w:rPr>
      <w:b/>
      <w:bCs/>
      <w:color w:val="474667"/>
      <w:kern w:val="28"/>
      <w:sz w:val="32"/>
      <w:szCs w:val="32"/>
    </w:rPr>
  </w:style>
  <w:style w:type="paragraph" w:customStyle="1" w:styleId="aa">
    <w:name w:val="标签"/>
    <w:basedOn w:val="ab"/>
    <w:qFormat/>
    <w:rsid w:val="00865510"/>
    <w:rPr>
      <w:szCs w:val="21"/>
    </w:rPr>
  </w:style>
  <w:style w:type="paragraph" w:customStyle="1" w:styleId="a">
    <w:name w:val="时间戳+章节"/>
    <w:basedOn w:val="a0"/>
    <w:qFormat/>
    <w:rsid w:val="00D86193"/>
    <w:pPr>
      <w:numPr>
        <w:numId w:val="17"/>
      </w:numPr>
    </w:pPr>
  </w:style>
  <w:style w:type="paragraph" w:customStyle="1" w:styleId="ac">
    <w:name w:val="大标题"/>
    <w:basedOn w:val="a4"/>
    <w:autoRedefine/>
    <w:qFormat/>
    <w:rsid w:val="00511359"/>
    <w:rPr>
      <w:rFonts w:asciiTheme="minorHAnsi" w:eastAsiaTheme="minorEastAsia" w:hAnsiTheme="minorHAnsi"/>
      <w:color w:val="000000" w:themeColor="text1"/>
      <w:sz w:val="36"/>
      <w:szCs w:val="36"/>
    </w:rPr>
  </w:style>
  <w:style w:type="paragraph" w:customStyle="1" w:styleId="ab">
    <w:name w:val="二级正文"/>
    <w:basedOn w:val="a0"/>
    <w:qFormat/>
    <w:rsid w:val="00F069C6"/>
    <w:rPr>
      <w:b/>
    </w:rPr>
  </w:style>
  <w:style w:type="numbering" w:customStyle="1" w:styleId="1">
    <w:name w:val="当前列表1"/>
    <w:uiPriority w:val="99"/>
    <w:rsid w:val="00C07DA3"/>
  </w:style>
  <w:style w:type="numbering" w:customStyle="1" w:styleId="22">
    <w:name w:val="当前列表2"/>
    <w:uiPriority w:val="99"/>
    <w:rsid w:val="00C07DA3"/>
  </w:style>
  <w:style w:type="numbering" w:customStyle="1" w:styleId="3">
    <w:name w:val="当前列表3"/>
    <w:uiPriority w:val="99"/>
    <w:rsid w:val="00C07DA3"/>
  </w:style>
  <w:style w:type="numbering" w:customStyle="1" w:styleId="4">
    <w:name w:val="当前列表4"/>
    <w:uiPriority w:val="99"/>
    <w:rsid w:val="00C07DA3"/>
  </w:style>
  <w:style w:type="numbering" w:customStyle="1" w:styleId="5">
    <w:name w:val="当前列表5"/>
    <w:uiPriority w:val="99"/>
    <w:rsid w:val="00C07DA3"/>
  </w:style>
  <w:style w:type="numbering" w:customStyle="1" w:styleId="6">
    <w:name w:val="当前列表6"/>
    <w:uiPriority w:val="99"/>
    <w:rsid w:val="00C07DA3"/>
  </w:style>
  <w:style w:type="numbering" w:customStyle="1" w:styleId="7">
    <w:name w:val="当前列表7"/>
    <w:uiPriority w:val="99"/>
    <w:rsid w:val="00C07DA3"/>
  </w:style>
  <w:style w:type="numbering" w:customStyle="1" w:styleId="8">
    <w:name w:val="当前列表8"/>
    <w:uiPriority w:val="99"/>
    <w:rsid w:val="00933C9B"/>
  </w:style>
  <w:style w:type="numbering" w:customStyle="1" w:styleId="9">
    <w:name w:val="当前列表9"/>
    <w:uiPriority w:val="99"/>
    <w:rsid w:val="00933C9B"/>
  </w:style>
  <w:style w:type="numbering" w:customStyle="1" w:styleId="10">
    <w:name w:val="当前列表10"/>
    <w:uiPriority w:val="99"/>
    <w:rsid w:val="00933C9B"/>
  </w:style>
  <w:style w:type="numbering" w:customStyle="1" w:styleId="11">
    <w:name w:val="当前列表11"/>
    <w:uiPriority w:val="99"/>
    <w:rsid w:val="00933C9B"/>
  </w:style>
  <w:style w:type="numbering" w:customStyle="1" w:styleId="12">
    <w:name w:val="当前列表12"/>
    <w:uiPriority w:val="99"/>
    <w:rsid w:val="00933C9B"/>
  </w:style>
  <w:style w:type="numbering" w:customStyle="1" w:styleId="13">
    <w:name w:val="当前列表13"/>
    <w:uiPriority w:val="99"/>
    <w:rsid w:val="00774E72"/>
  </w:style>
  <w:style w:type="numbering" w:customStyle="1" w:styleId="14">
    <w:name w:val="当前列表14"/>
    <w:uiPriority w:val="99"/>
    <w:rsid w:val="00774E72"/>
  </w:style>
  <w:style w:type="numbering" w:customStyle="1" w:styleId="15">
    <w:name w:val="当前列表15"/>
    <w:uiPriority w:val="99"/>
    <w:rsid w:val="00774E72"/>
  </w:style>
  <w:style w:type="numbering" w:customStyle="1" w:styleId="16">
    <w:name w:val="当前列表16"/>
    <w:uiPriority w:val="99"/>
    <w:rsid w:val="00774E72"/>
  </w:style>
  <w:style w:type="numbering" w:customStyle="1" w:styleId="17">
    <w:name w:val="当前列表17"/>
    <w:uiPriority w:val="99"/>
    <w:rsid w:val="00774E72"/>
  </w:style>
  <w:style w:type="numbering" w:customStyle="1" w:styleId="18">
    <w:name w:val="当前列表18"/>
    <w:uiPriority w:val="99"/>
    <w:rsid w:val="00774E72"/>
  </w:style>
  <w:style w:type="numbering" w:customStyle="1" w:styleId="19">
    <w:name w:val="当前列表19"/>
    <w:uiPriority w:val="99"/>
    <w:rsid w:val="00774E72"/>
  </w:style>
  <w:style w:type="numbering" w:customStyle="1" w:styleId="20">
    <w:name w:val="当前列表20"/>
    <w:uiPriority w:val="99"/>
    <w:rsid w:val="00865510"/>
    <w:pPr>
      <w:numPr>
        <w:numId w:val="44"/>
      </w:numPr>
    </w:pPr>
  </w:style>
</w:styles>
</file>

<file path=word/_rels/document.xml.rels><?xml version="1.0" encoding="UTF-8" standalone="yes"?><Relationships xmlns="http://schemas.openxmlformats.org/package/2006/relationships"><Relationship Id="rId1" Target="settings.xml" Type="http://schemas.openxmlformats.org/officeDocument/2006/relationships/settings"/><Relationship Id="rId2" Target="numbering.xml" Type="http://schemas.openxmlformats.org/officeDocument/2006/relationships/numbering"/><Relationship Id="rId3" Target="styles.xml" Type="http://schemas.openxmlformats.org/officeDocument/2006/relationships/styles"/></Relationships>
</file>

<file path=docProps/app.xml><?xml version="1.0" encoding="utf-8"?>
<Properties xmlns="http://schemas.openxmlformats.org/officeDocument/2006/extended-properties">
  <Application>Apache POI</Application>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2026-08-24T17:38:39Z</dcterms:created>
  <dc:creator>Apache POI</dc:creator>
</cp:coreProperties>
</file>