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pStyle w:val="ac"/>
      </w:pPr>
      <w:r>
        <w:t>华创非银徐康团队 - 深度30讲：如何看待新形势下公募基金的发展模式 260824_导读</w:t>
      </w:r>
    </w:p>
    <w:p>
      <w:pPr>
        <w:pStyle w:val="a0"/>
        <w:jc w:val="center"/>
      </w:pPr>
      <w:r>
        <w:t>2026年08月24日 22:12</w:t>
      </w:r>
    </w:p>
    <w:p>
      <w:pPr>
        <w:pStyle w:val="a7"/>
      </w:pPr>
      <w:r>
        <w:t>关键词</w:t>
      </w:r>
    </w:p>
    <w:p>
      <w:r>
        <w:rPr>
          <w:rFonts w:ascii="等线(中文正文)" w:hAnsi="等线(中文正文)" w:cs="等线(中文正文)" w:eastAsia="等线(中文正文)"/>
          <w:b w:val="false"/>
          <w:i w:val="false"/>
          <w:sz w:val="20"/>
        </w:rPr>
        <w:t xml:space="preserve">保险资金运用 资产负债匹配 支付新规 监管指标 监测指标 独立部门 流动性风险 利差损 资产配置政策 资本规划 信息系统 压力测试 回收分析 综合收益率 收入覆盖率 流通覆盖率 业务规划 产品定价。 利率风险 有效久期缺口 </w:t>
      </w:r>
    </w:p>
    <w:p>
      <w:r>
        <w:rPr>
          <w:rFonts w:ascii="等线(中文正文)" w:hAnsi="等线(中文正文)" w:cs="等线(中文正文)" w:eastAsia="等线(中文正文)"/>
          <w:b w:val="false"/>
          <w:i w:val="false"/>
          <w:sz w:val="20"/>
        </w:rPr>
        <w:t/>
      </w:r>
    </w:p>
    <w:p>
      <w:pPr>
        <w:pStyle w:val="a7"/>
      </w:pPr>
      <w:r>
        <w:t>全文摘要</w:t>
      </w:r>
    </w:p>
    <w:p>
      <w:r>
        <w:rPr>
          <w:rFonts w:ascii="等线(中文正文)" w:hAnsi="等线(中文正文)" w:cs="等线(中文正文)" w:eastAsia="等线(中文正文)"/>
          <w:b w:val="false"/>
          <w:i w:val="false"/>
          <w:sz w:val="20"/>
        </w:rPr>
        <w:t>即将召开的支付新规专家会议聚焦于即将发布的支付管理办法，讨论其历史背景、核心内容、监管要求以及对保险公司经营管理和资本市场的影响。会议强调，新规实施后，保险公司需从2026年四季度开始基于新规进行年度报告编制，同时需调整经营策略，包括压降负债成本、协调资产负债两端，以及改变资产配置策略，如增加长期债券和高股息股票配置。此次会议旨在为投资者和保险公司提供对新规更深入的理解和指导，以适应未来监管要求和市场变化。</w:t>
      </w:r>
    </w:p>
    <w:p>
      <w:r>
        <w:rPr>
          <w:rFonts w:ascii="等线(中文正文)" w:hAnsi="等线(中文正文)" w:cs="等线(中文正文)" w:eastAsia="等线(中文正文)"/>
          <w:b w:val="false"/>
          <w:i w:val="false"/>
          <w:sz w:val="20"/>
        </w:rPr>
        <w:t/>
      </w:r>
    </w:p>
    <w:p>
      <w:pPr>
        <w:pStyle w:val="a7"/>
      </w:pPr>
      <w:r>
        <w:t>章节速览</w:t>
      </w:r>
    </w:p>
    <w:p>
      <w:pPr>
        <w:pStyle w:val="ab"/>
        <w:numPr>
          <w:numId w:val="1"/>
        </w:numPr>
      </w:pPr>
      <w:r>
        <w:t>00:00 支付新规解读与保险行业影响分析</w:t>
      </w:r>
    </w:p>
    <w:p>
      <w:r>
        <w:rPr>
          <w:rFonts w:ascii="等线(中文正文)" w:hAnsi="等线(中文正文)" w:cs="等线(中文正文)" w:eastAsia="等线(中文正文)"/>
          <w:b w:val="false"/>
          <w:i w:val="false"/>
          <w:sz w:val="20"/>
        </w:rPr>
        <w:t>会议聚焦于支付新规的解读及其对保险行业的影响，强调了新规的实施时间、过渡期要求及长期性指标，指出其深远影响而非即时冲击。回顾2018年支付管理办法一期背景，提及当时市场保险资金运用状况与资产负债匹配管理问题，强调新规在解决当前行业挑战中的先进性。</w:t>
      </w:r>
    </w:p>
    <w:p>
      <w:r>
        <w:rPr>
          <w:rFonts w:ascii="等线(中文正文)" w:hAnsi="等线(中文正文)" w:cs="等线(中文正文)" w:eastAsia="等线(中文正文)"/>
          <w:b w:val="false"/>
          <w:i w:val="false"/>
          <w:sz w:val="20"/>
        </w:rPr>
        <w:t/>
      </w:r>
    </w:p>
    <w:p>
      <w:pPr>
        <w:pStyle w:val="ab"/>
        <w:numPr>
          <w:numId w:val="2"/>
        </w:numPr>
      </w:pPr>
      <w:r>
        <w:t>03:59 保险公司资产负债管理新规解析</w:t>
      </w:r>
    </w:p>
    <w:p>
      <w:r>
        <w:rPr>
          <w:rFonts w:ascii="等线(中文正文)" w:hAnsi="等线(中文正文)" w:cs="等线(中文正文)" w:eastAsia="等线(中文正文)"/>
          <w:b w:val="false"/>
          <w:i w:val="false"/>
          <w:sz w:val="20"/>
        </w:rPr>
        <w:t>对话围绕保险公司资产负债管理的新规展开，强调了资产负债两端协调的重要性，提出了资产负债管理部门的独立性要求，以及新制度提升至部门规章级别，增加了硬性约束力和监管措施。新规旨在通过资产负债管理优化，实现保险公司的长期稳健经营，同时对资产配置政策、资本规划等职责进行了明确，体现了与全面风险管理框架的融合。</w:t>
      </w:r>
    </w:p>
    <w:p>
      <w:r>
        <w:rPr>
          <w:rFonts w:ascii="等线(中文正文)" w:hAnsi="等线(中文正文)" w:cs="等线(中文正文)" w:eastAsia="等线(中文正文)"/>
          <w:b w:val="false"/>
          <w:i w:val="false"/>
          <w:sz w:val="20"/>
        </w:rPr>
        <w:t/>
      </w:r>
    </w:p>
    <w:p>
      <w:pPr>
        <w:pStyle w:val="ab"/>
        <w:numPr>
          <w:numId w:val="3"/>
        </w:numPr>
      </w:pPr>
      <w:r>
        <w:t>11:26 新规下资产负债管理与信息系统融合要点</w:t>
      </w:r>
    </w:p>
    <w:p>
      <w:r>
        <w:rPr>
          <w:rFonts w:ascii="等线(中文正文)" w:hAnsi="等线(中文正文)" w:cs="等线(中文正文)" w:eastAsia="等线(中文正文)"/>
          <w:b w:val="false"/>
          <w:i w:val="false"/>
          <w:sz w:val="20"/>
        </w:rPr>
        <w:t>对话深入探讨了新规下资产负债管理的执行要求，强调将管理动作与数据测算分析结合的重要性，以及绩效考核的必要性。新规定要求将资产端与负债端的策略纳入信息系统管理，重视指标传导体系，解决资产配置与业务规划脱节的问题，强化压力测试与风险管理预案。此外，还介绍了监管与监测指标的变化，如沉淀资金覆盖率和三年平均综合收益率，对保险公司尤其是寿险公司的影响。</w:t>
      </w:r>
    </w:p>
    <w:p>
      <w:r>
        <w:rPr>
          <w:rFonts w:ascii="等线(中文正文)" w:hAnsi="等线(中文正文)" w:cs="等线(中文正文)" w:eastAsia="等线(中文正文)"/>
          <w:b w:val="false"/>
          <w:i w:val="false"/>
          <w:sz w:val="20"/>
        </w:rPr>
        <w:t/>
      </w:r>
    </w:p>
    <w:p>
      <w:pPr>
        <w:pStyle w:val="ab"/>
        <w:numPr>
          <w:numId w:val="4"/>
        </w:numPr>
      </w:pPr>
      <w:r>
        <w:t>16:37 寿险行业监管指标调整解析</w:t>
      </w:r>
    </w:p>
    <w:p>
      <w:r>
        <w:rPr>
          <w:rFonts w:ascii="等线(中文正文)" w:hAnsi="等线(中文正文)" w:cs="等线(中文正文)" w:eastAsia="等线(中文正文)"/>
          <w:b w:val="false"/>
          <w:i w:val="false"/>
          <w:sz w:val="20"/>
        </w:rPr>
        <w:t>对话深入探讨了寿险行业监管指标的调整，包括从期限结构监管指标到利率风险对冲率的变化，以及综合投资收益覆盖率和净投资收益负债率的新定义。强调了监管机制的强化，如风险预警、改善计划要求和过渡期安排，以及对保险公司高级管理层的实质性约束。</w:t>
      </w:r>
    </w:p>
    <w:p>
      <w:r>
        <w:rPr>
          <w:rFonts w:ascii="等线(中文正文)" w:hAnsi="等线(中文正文)" w:cs="等线(中文正文)" w:eastAsia="等线(中文正文)"/>
          <w:b w:val="false"/>
          <w:i w:val="false"/>
          <w:sz w:val="20"/>
        </w:rPr>
        <w:t/>
      </w:r>
    </w:p>
    <w:p>
      <w:pPr>
        <w:pStyle w:val="ab"/>
        <w:numPr>
          <w:numId w:val="5"/>
        </w:numPr>
      </w:pPr>
      <w:r>
        <w:t>22:27 保险行业新规解读与监管约束力分析</w:t>
      </w:r>
    </w:p>
    <w:p>
      <w:r>
        <w:rPr>
          <w:rFonts w:ascii="等线(中文正文)" w:hAnsi="等线(中文正文)" w:cs="等线(中文正文)" w:eastAsia="等线(中文正文)"/>
          <w:b w:val="false"/>
          <w:i w:val="false"/>
          <w:sz w:val="20"/>
        </w:rPr>
        <w:t>对话围绕保险行业新规展开，重点讨论了政策性保险公司、相互保险公司等报送要求及监管约束力的变化。新规强调了报送与披露的区别，明确了监管指标的硬约束力，以及监测指标的重要性。新规将部分要求从附件提升至正文，强化了合规性要求，对行业监管提出了更高标准。</w:t>
      </w:r>
    </w:p>
    <w:p>
      <w:r>
        <w:rPr>
          <w:rFonts w:ascii="等线(中文正文)" w:hAnsi="等线(中文正文)" w:cs="等线(中文正文)" w:eastAsia="等线(中文正文)"/>
          <w:b w:val="false"/>
          <w:i w:val="false"/>
          <w:sz w:val="20"/>
        </w:rPr>
        <w:t/>
      </w:r>
    </w:p>
    <w:p>
      <w:pPr>
        <w:pStyle w:val="ab"/>
        <w:numPr>
          <w:numId w:val="6"/>
        </w:numPr>
      </w:pPr>
      <w:r>
        <w:t>28:46 保险公司投资收益与负债成本覆盖机制解析</w:t>
      </w:r>
    </w:p>
    <w:p>
      <w:r>
        <w:rPr>
          <w:rFonts w:ascii="等线(中文正文)" w:hAnsi="等线(中文正文)" w:cs="等线(中文正文)" w:eastAsia="等线(中文正文)"/>
          <w:b w:val="false"/>
          <w:i w:val="false"/>
          <w:sz w:val="20"/>
        </w:rPr>
        <w:t>对话深入探讨了保险公司监管指标与监测指标的差异，强调了监管指标的硬约束性质及监测指标的引导作用。特别解析了净投资收益与总综合投资收益覆盖率的计算细节，指出净投资收益包含股息、红利、债券利息及不动产租金收入，而综合收益则需考虑资产与负债规模不等的问题，实际计算为额对额覆盖而非率对率。</w:t>
      </w:r>
    </w:p>
    <w:p>
      <w:r>
        <w:rPr>
          <w:rFonts w:ascii="等线(中文正文)" w:hAnsi="等线(中文正文)" w:cs="等线(中文正文)" w:eastAsia="等线(中文正文)"/>
          <w:b w:val="false"/>
          <w:i w:val="false"/>
          <w:sz w:val="20"/>
        </w:rPr>
        <w:t/>
      </w:r>
    </w:p>
    <w:p>
      <w:pPr>
        <w:pStyle w:val="ab"/>
        <w:numPr>
          <w:numId w:val="7"/>
        </w:numPr>
      </w:pPr>
      <w:r>
        <w:t>34:37 保险负债成本与收益指标解析</w:t>
      </w:r>
    </w:p>
    <w:p>
      <w:r>
        <w:rPr>
          <w:rFonts w:ascii="等线(中文正文)" w:hAnsi="等线(中文正文)" w:cs="等线(中文正文)" w:eastAsia="等线(中文正文)"/>
          <w:b w:val="false"/>
          <w:i w:val="false"/>
          <w:sz w:val="20"/>
        </w:rPr>
        <w:t>对话深入探讨了保险业负债成本的构成与收益指标的选择，指出负债成本基于产品定价利率与粉准备金，区别于会计准则下的负债规模。收益指标方面，综合收益率因更贴近保险公司净资产稳健增长目标而被重视，监管偏好金融资产角度评估持续经营能力。特别提及债券处理与OCI债券计量范围调整，以及负债保证成本与资金成本的差异，前者侧重最低利率保障，后者反映当前分红险与万能险的持续经营成本。</w:t>
      </w:r>
    </w:p>
    <w:p>
      <w:r>
        <w:rPr>
          <w:rFonts w:ascii="等线(中文正文)" w:hAnsi="等线(中文正文)" w:cs="等线(中文正文)" w:eastAsia="等线(中文正文)"/>
          <w:b w:val="false"/>
          <w:i w:val="false"/>
          <w:sz w:val="20"/>
        </w:rPr>
        <w:t/>
      </w:r>
    </w:p>
    <w:p>
      <w:pPr>
        <w:pStyle w:val="ab"/>
        <w:numPr>
          <w:numId w:val="8"/>
        </w:numPr>
      </w:pPr>
      <w:r>
        <w:t>38:18 保险成本与打平收益概念探讨</w:t>
      </w:r>
    </w:p>
    <w:p>
      <w:r>
        <w:rPr>
          <w:rFonts w:ascii="等线(中文正文)" w:hAnsi="等线(中文正文)" w:cs="等线(中文正文)" w:eastAsia="等线(中文正文)"/>
          <w:b w:val="false"/>
          <w:i w:val="false"/>
          <w:sz w:val="20"/>
        </w:rPr>
        <w:t>讨论了在保险行业中，为何不采用打平收益的概念来衡量成本。指出新准则下，各公司会计政策不同，准备金评估基础假设的差异性，影响了指标的可比性。强调监管指标设计需考虑公平性，而精细化的内部管理分析则更为重要。</w:t>
      </w:r>
    </w:p>
    <w:p>
      <w:r>
        <w:rPr>
          <w:rFonts w:ascii="等线(中文正文)" w:hAnsi="等线(中文正文)" w:cs="等线(中文正文)" w:eastAsia="等线(中文正文)"/>
          <w:b w:val="false"/>
          <w:i w:val="false"/>
          <w:sz w:val="20"/>
        </w:rPr>
        <w:t/>
      </w:r>
    </w:p>
    <w:p>
      <w:pPr>
        <w:pStyle w:val="ab"/>
        <w:numPr>
          <w:numId w:val="9"/>
        </w:numPr>
      </w:pPr>
      <w:r>
        <w:t>40:20 保险行业资产与负债成本分析</w:t>
      </w:r>
    </w:p>
    <w:p>
      <w:r>
        <w:rPr>
          <w:rFonts w:ascii="等线(中文正文)" w:hAnsi="等线(中文正文)" w:cs="等线(中文正文)" w:eastAsia="等线(中文正文)"/>
          <w:b w:val="false"/>
          <w:i w:val="false"/>
          <w:sz w:val="20"/>
        </w:rPr>
        <w:t>对话围绕保险行业整体及不同规模公司（大、中、小）的负债保证成本、资金成本、净投资收益率及综合投资收益率进行探讨。行业整体负债保证成本约3%，资金成本略高，收益率区间估计在2.5%至3%。大型公司因历史资产配置和资本承受力优势，在收益率上表现更佳，而小型公司则面临转型压力和资产配置挑战。</w:t>
      </w:r>
    </w:p>
    <w:p>
      <w:r>
        <w:rPr>
          <w:rFonts w:ascii="等线(中文正文)" w:hAnsi="等线(中文正文)" w:cs="等线(中文正文)" w:eastAsia="等线(中文正文)"/>
          <w:b w:val="false"/>
          <w:i w:val="false"/>
          <w:sz w:val="20"/>
        </w:rPr>
        <w:t/>
      </w:r>
    </w:p>
    <w:p>
      <w:pPr>
        <w:pStyle w:val="ab"/>
        <w:numPr>
          <w:numId w:val="10"/>
        </w:numPr>
      </w:pPr>
      <w:r>
        <w:t>45:21 新规下大类资产配置的约束与引导</w:t>
      </w:r>
    </w:p>
    <w:p>
      <w:r>
        <w:rPr>
          <w:rFonts w:ascii="等线(中文正文)" w:hAnsi="等线(中文正文)" w:cs="等线(中文正文)" w:eastAsia="等线(中文正文)"/>
          <w:b w:val="false"/>
          <w:i w:val="false"/>
          <w:sz w:val="20"/>
        </w:rPr>
        <w:t>对话讨论了新监管规定对大类资产配置的影响，尤其是债券和股票的配置策略。新规要求公司通过增配长期债券来提高利率风险对冲率，满足监管指标。同时，考虑到长期收益覆盖率，建议增加OCI股票的配置比例，以优化风险收益比。这些调整旨在引导公司更好地实现资产负债匹配和提升综合收益覆盖率。</w:t>
      </w:r>
    </w:p>
    <w:p>
      <w:r>
        <w:rPr>
          <w:rFonts w:ascii="等线(中文正文)" w:hAnsi="等线(中文正文)" w:cs="等线(中文正文)" w:eastAsia="等线(中文正文)"/>
          <w:b w:val="false"/>
          <w:i w:val="false"/>
          <w:sz w:val="20"/>
        </w:rPr>
        <w:t/>
      </w:r>
    </w:p>
    <w:p>
      <w:pPr>
        <w:pStyle w:val="ab"/>
        <w:numPr>
          <w:numId w:val="11"/>
        </w:numPr>
      </w:pPr>
      <w:r>
        <w:t>49:41 保险投资策略与资产负债管理探讨</w:t>
      </w:r>
    </w:p>
    <w:p>
      <w:r>
        <w:rPr>
          <w:rFonts w:ascii="等线(中文正文)" w:hAnsi="等线(中文正文)" w:cs="等线(中文正文)" w:eastAsia="等线(中文正文)"/>
          <w:b w:val="false"/>
          <w:i w:val="false"/>
          <w:sz w:val="20"/>
        </w:rPr>
        <w:t>对话围绕保险资金投资策略展开，讨论了债券收益受限背景下转向股票投资的必要性，同时提及另类投资如多层次race等资产的配置价值。强调了在新规影响下，保险公司需通过优化投资组合和降低负债成本来改善偿付能力，实现资产负债管理目标。</w:t>
      </w:r>
    </w:p>
    <w:p>
      <w:r>
        <w:rPr>
          <w:rFonts w:ascii="等线(中文正文)" w:hAnsi="等线(中文正文)" w:cs="等线(中文正文)" w:eastAsia="等线(中文正文)"/>
          <w:b w:val="false"/>
          <w:i w:val="false"/>
          <w:sz w:val="20"/>
        </w:rPr>
        <w:t/>
      </w:r>
    </w:p>
    <w:p>
      <w:pPr>
        <w:pStyle w:val="ab"/>
        <w:numPr>
          <w:numId w:val="12"/>
        </w:numPr>
      </w:pPr>
      <w:r>
        <w:t>53:16 2026年报三年滚动数据计算及监管体系差异探讨</w:t>
      </w:r>
    </w:p>
    <w:p>
      <w:r>
        <w:rPr>
          <w:rFonts w:ascii="等线(中文正文)" w:hAnsi="等线(中文正文)" w:cs="等线(中文正文)" w:eastAsia="等线(中文正文)"/>
          <w:b w:val="false"/>
          <w:i w:val="false"/>
          <w:sz w:val="20"/>
        </w:rPr>
        <w:t>讨论了2026年年报中涉及的三年滚动数据计算方法，包括2024-2026年的投资收益与负债成本比率计算，以及这一计算方式与长期能力报告体系的不同之处。强调了历史数据不可更改的事实，以及三年平均数计算对于应对资本市场波动和提供调整窗口期的重要性。</w:t>
      </w:r>
    </w:p>
    <w:p>
      <w:r>
        <w:rPr>
          <w:rFonts w:ascii="等线(中文正文)" w:hAnsi="等线(中文正文)" w:cs="等线(中文正文)" w:eastAsia="等线(中文正文)"/>
          <w:b w:val="false"/>
          <w:i w:val="false"/>
          <w:sz w:val="20"/>
        </w:rPr>
        <w:t/>
      </w:r>
    </w:p>
    <w:p>
      <w:pPr>
        <w:pStyle w:val="ab"/>
        <w:numPr>
          <w:numId w:val="13"/>
        </w:numPr>
      </w:pPr>
      <w:r>
        <w:t>55:49 监管政策调整与公司应对策略探讨</w:t>
      </w:r>
    </w:p>
    <w:p>
      <w:r>
        <w:rPr>
          <w:rFonts w:ascii="等线(中文正文)" w:hAnsi="等线(中文正文)" w:cs="等线(中文正文)" w:eastAsia="等线(中文正文)"/>
          <w:b w:val="false"/>
          <w:i w:val="false"/>
          <w:sz w:val="20"/>
        </w:rPr>
        <w:t>对话围绕监管政策调整展开，讨论了资产负债管理部门设立、过渡期安排及利率变动对冲率指标的影响。指出不同公司因条件差异需采取灵活应对，强调独立部门在内部管理平衡中的重要性，同时分析了行业公司达标率与市场影响的关系，认为优质公司可能已具备较好匹配能力。</w:t>
      </w:r>
    </w:p>
    <w:p>
      <w:r>
        <w:rPr>
          <w:rFonts w:ascii="等线(中文正文)" w:hAnsi="等线(中文正文)" w:cs="等线(中文正文)" w:eastAsia="等线(中文正文)"/>
          <w:b w:val="false"/>
          <w:i w:val="false"/>
          <w:sz w:val="20"/>
        </w:rPr>
        <w:t/>
      </w:r>
    </w:p>
    <w:p>
      <w:pPr>
        <w:pStyle w:val="ab"/>
        <w:numPr>
          <w:numId w:val="14"/>
        </w:numPr>
      </w:pPr>
      <w:r>
        <w:t>59:28 保险资管新规下职能与约束探讨</w:t>
      </w:r>
    </w:p>
    <w:p>
      <w:r>
        <w:rPr>
          <w:rFonts w:ascii="等线(中文正文)" w:hAnsi="等线(中文正文)" w:cs="等线(中文正文)" w:eastAsia="等线(中文正文)"/>
          <w:b w:val="false"/>
          <w:i w:val="false"/>
          <w:sz w:val="20"/>
        </w:rPr>
        <w:t>对话围绕保险资管公司新规定的职能与约束展开，讨论了从受托人角度摒弃传统资产配置理念，强调管理架构与责任考核机制的调整。提及法定准备金在成本端的应用，以及对冲率与资产久期比负债周期的理解。针对免税债券收益差异性问题，指出监管指标不考虑免税影响，建议公司在内部管理中综合考量税收政策变化与盈利压力。</w:t>
      </w:r>
    </w:p>
    <w:p>
      <w:r>
        <w:rPr>
          <w:rFonts w:ascii="等线(中文正文)" w:hAnsi="等线(中文正文)" w:cs="等线(中文正文)" w:eastAsia="等线(中文正文)"/>
          <w:b w:val="false"/>
          <w:i w:val="false"/>
          <w:sz w:val="20"/>
        </w:rPr>
        <w:t/>
      </w:r>
    </w:p>
    <w:p>
      <w:pPr>
        <w:pStyle w:val="ab"/>
        <w:numPr>
          <w:numId w:val="15"/>
        </w:numPr>
      </w:pPr>
      <w:r>
        <w:t>01:04:26 监管新规对公司经营策略的影响与应对</w:t>
      </w:r>
    </w:p>
    <w:p>
      <w:r>
        <w:rPr>
          <w:rFonts w:ascii="等线(中文正文)" w:hAnsi="等线(中文正文)" w:cs="等线(中文正文)" w:eastAsia="等线(中文正文)"/>
          <w:b w:val="false"/>
          <w:i w:val="false"/>
          <w:sz w:val="20"/>
        </w:rPr>
        <w:t>对话围绕监管新规对公司经营策略的约束与影响展开，探讨了如何在满足收益覆盖率等指标的同时，应对小公司高负债成本的挑战。讨论中提到，监管指标的过渡期和边际改善的重要性，以及长期方向与短期市场策略的结合。投资者关心的是如何在三年过渡期内逐步弥补经营缺口，而非一次性完成。整体上，方向明确但具体路径和节奏难以量化，需综合考虑市场周期和公司实际情况。</w:t>
      </w:r>
    </w:p>
    <w:p>
      <w:r>
        <w:rPr>
          <w:rFonts w:ascii="等线(中文正文)" w:hAnsi="等线(中文正文)" w:cs="等线(中文正文)" w:eastAsia="等线(中文正文)"/>
          <w:b w:val="false"/>
          <w:i w:val="false"/>
          <w:sz w:val="20"/>
        </w:rPr>
        <w:t/>
      </w:r>
    </w:p>
    <w:p>
      <w:pPr>
        <w:pStyle w:val="ab"/>
        <w:numPr>
          <w:numId w:val="16"/>
        </w:numPr>
      </w:pPr>
      <w:r>
        <w:t>01:10:41 保险行业资产负债管理新规与经营展望</w:t>
      </w:r>
    </w:p>
    <w:p>
      <w:r>
        <w:rPr>
          <w:rFonts w:ascii="等线(中文正文)" w:hAnsi="等线(中文正文)" w:cs="等线(中文正文)" w:eastAsia="等线(中文正文)"/>
          <w:b w:val="false"/>
          <w:i w:val="false"/>
          <w:sz w:val="20"/>
        </w:rPr>
        <w:t>对话围绕保险行业在新旧会计准则转换期的财务处理、资产负债管理新规及其对经营的影响展开。参与者讨论了资产与负债两端联动的重要性，强调了内部管理和考核机制对实现长期稳健经营的作用。同时，对未来经营策略提出了展望，指出负债成本优化与资产配置调整并重，以应对当前金融压力，实现业务转型与匹配改善。</w:t>
      </w:r>
    </w:p>
    <w:p>
      <w:r>
        <w:rPr>
          <w:rFonts w:ascii="等线(中文正文)" w:hAnsi="等线(中文正文)" w:cs="等线(中文正文)" w:eastAsia="等线(中文正文)"/>
          <w:b w:val="false"/>
          <w:i w:val="false"/>
          <w:sz w:val="20"/>
        </w:rPr>
        <w:t/>
      </w:r>
    </w:p>
    <w:p>
      <w:pPr>
        <w:pStyle w:val="a7"/>
      </w:pPr>
      <w:r>
        <w:t>发言总结</w:t>
      </w:r>
    </w:p>
    <w:p>
      <w:pPr>
        <w:pStyle w:val="ab"/>
        <w:numPr>
          <w:numId w:val="17"/>
        </w:numPr>
      </w:pPr>
      <w:r>
        <w:t>发言人1</w:t>
      </w:r>
    </w:p>
    <w:p>
      <w:r>
        <w:rPr>
          <w:rFonts w:ascii="等线(中文正文)" w:hAnsi="等线(中文正文)" w:cs="等线(中文正文)" w:eastAsia="等线(中文正文)"/>
          <w:b w:val="false"/>
          <w:i w:val="false"/>
          <w:sz w:val="20"/>
        </w:rPr>
        <w:t>他，华创的设计研究员曾广荣，在电话会议上对各位投资者和专家的到来表示了热烈的欢迎，并对已持续七期的保险基本面会议表达了感谢。他强调了负债端和资产端讨论在保险行业中的重要性，并介绍了自己是来自华创的研究员。随后，他讨论了讨论支付新规专家会议的必要性，特别介绍了安永保险投资管理咨询团队负责人唐总，作为这次会议的专家。他呼吁唐总简要介绍新规的要点，帮助听众理解新规对保险公司经营管理和资本市场可能产生的影响。他还提到新规要求从2023年1月1日起执行，设置了过渡期的要求，并预计保险公司需开始准备相关工作。最后，他概述了监管要求的几个关键方面，包括负债成本、投资收益等。他对长远影响持乐观态度，并对唐总的分享表示感谢，邀请线上投资者和保险公司领导进一步探讨，最终表达了对所有参与者参与的感谢并结束了会议。</w:t>
      </w:r>
    </w:p>
    <w:p>
      <w:r>
        <w:rPr>
          <w:rFonts w:ascii="等线(中文正文)" w:hAnsi="等线(中文正文)" w:cs="等线(中文正文)" w:eastAsia="等线(中文正文)"/>
          <w:b w:val="false"/>
          <w:i w:val="false"/>
          <w:sz w:val="20"/>
        </w:rPr>
        <w:t/>
      </w:r>
    </w:p>
    <w:p>
      <w:pPr>
        <w:pStyle w:val="a7"/>
      </w:pPr>
      <w:r>
        <w:t>问答回顾</w:t>
      </w:r>
    </w:p>
    <w:p>
      <w:pPr>
        <w:pStyle w:val="ab"/>
      </w:pPr>
      <w:r>
        <w:t>发言人1 问：新的支付新规发布后，它将在何时开始执行，对于保险公司有何影响？支付新规出台的背景是什么？</w:t>
      </w:r>
    </w:p>
    <w:p>
      <w:r>
        <w:rPr>
          <w:rFonts w:ascii="等线(中文正文)" w:hAnsi="等线(中文正文)" w:cs="等线(中文正文)" w:eastAsia="等线(中文正文)"/>
          <w:b w:val="false"/>
          <w:i w:val="false"/>
          <w:sz w:val="20"/>
        </w:rPr>
        <w:t>发言人1 答：新的支付管理办法发布后，明年1月1号开始执行，并且设置了一些过渡期的要求。这意味着保险公司需要从今年四季度开始基于新规编制年度报告。对于资本市场理解，新规并非一次性严格要求，而是允许过渡期，并且有一些长期性的指标，这将对保险公司的经营管理和资本市场产生深远影响。支付新规的出台背景是2018年监管针对当时市场中一些激进公司采用资产驱动负债模式引发流动性风险和资产负债错配问题，以及部分保险公司因利率下行导致的利差损风险等。此新规旨在解决这些问题，要求保险公司关注支付联动，协调资产负债两端，并压降负债成本。</w:t>
      </w:r>
    </w:p>
    <w:p>
      <w:r>
        <w:rPr>
          <w:rFonts w:ascii="等线(中文正文)" w:hAnsi="等线(中文正文)" w:cs="等线(中文正文)" w:eastAsia="等线(中文正文)"/>
          <w:b w:val="false"/>
          <w:i w:val="false"/>
          <w:sz w:val="20"/>
        </w:rPr>
        <w:t/>
      </w:r>
    </w:p>
    <w:p>
      <w:pPr>
        <w:pStyle w:val="ab"/>
      </w:pPr>
      <w:r>
        <w:t>发言人1 问：新规在制度框架和监管要求上的主要变化是什么？</w:t>
      </w:r>
    </w:p>
    <w:p>
      <w:r>
        <w:rPr>
          <w:rFonts w:ascii="等线(中文正文)" w:hAnsi="等线(中文正文)" w:cs="等线(中文正文)" w:eastAsia="等线(中文正文)"/>
          <w:b w:val="false"/>
          <w:i w:val="false"/>
          <w:sz w:val="20"/>
        </w:rPr>
        <w:t>发言人1 答：新规提升了制度层级至部门规章，并配套了相应的监管措施和处罚措施，约束力比以往增强。其中，新增了监管指标和监测指标，后者报送的指标虽没有硬性约束力，但新规提升了其重要性，尤其是对于资产负债管理的部门设置了独立性和参与拟定相关风险容忍度、风险限额等职责，强化了全面风险管理。</w:t>
      </w:r>
    </w:p>
    <w:p>
      <w:r>
        <w:rPr>
          <w:rFonts w:ascii="等线(中文正文)" w:hAnsi="等线(中文正文)" w:cs="等线(中文正文)" w:eastAsia="等线(中文正文)"/>
          <w:b w:val="false"/>
          <w:i w:val="false"/>
          <w:sz w:val="20"/>
        </w:rPr>
        <w:t/>
      </w:r>
    </w:p>
    <w:p>
      <w:pPr>
        <w:pStyle w:val="ab"/>
      </w:pPr>
      <w:r>
        <w:t>发言人1 问：在治理结构方面，新规对保险公司提出了怎样的要求？</w:t>
      </w:r>
    </w:p>
    <w:p>
      <w:r>
        <w:rPr>
          <w:rFonts w:ascii="等线(中文正文)" w:hAnsi="等线(中文正文)" w:cs="等线(中文正文)" w:eastAsia="等线(中文正文)"/>
          <w:b w:val="false"/>
          <w:i w:val="false"/>
          <w:sz w:val="20"/>
        </w:rPr>
        <w:t>发言人1 答：新规要求保险公司设置或指定具有独立性的资产负债管理部门，该部门不能受到保险业务或投资部门的干预，需具备公允性和符合公司资产负债联动和平衡原则。同时，资产负债管理部门需拟定或参与拟定资产负债相关的风险容忍度、风险限额、业务规划、资本规划、资产配置政策和流动性风险管理政策等。</w:t>
      </w:r>
    </w:p>
    <w:p>
      <w:r>
        <w:rPr>
          <w:rFonts w:ascii="等线(中文正文)" w:hAnsi="等线(中文正文)" w:cs="等线(中文正文)" w:eastAsia="等线(中文正文)"/>
          <w:b w:val="false"/>
          <w:i w:val="false"/>
          <w:sz w:val="20"/>
        </w:rPr>
        <w:t/>
      </w:r>
    </w:p>
    <w:p>
      <w:pPr>
        <w:pStyle w:val="ab"/>
      </w:pPr>
      <w:r>
        <w:t>发言人1 问：新旧规相比，在信息系统和数据模型管理上有哪些变化？</w:t>
      </w:r>
    </w:p>
    <w:p>
      <w:r>
        <w:rPr>
          <w:rFonts w:ascii="等线(中文正文)" w:hAnsi="等线(中文正文)" w:cs="等线(中文正文)" w:eastAsia="等线(中文正文)"/>
          <w:b w:val="false"/>
          <w:i w:val="false"/>
          <w:sz w:val="20"/>
        </w:rPr>
        <w:t>发言人1 答：新规则将资产负债管理系统和资产配置模型工具融合为一个系统，强调了数据模型的一致性和指标传导体系的重要性。此外，还要求统筹开发资产负债管理信息系统，以实现对资产配置策略、业务开发和产品定价等方面的信息化管理。</w:t>
      </w:r>
    </w:p>
    <w:p>
      <w:r>
        <w:rPr>
          <w:rFonts w:ascii="等线(中文正文)" w:hAnsi="等线(中文正文)" w:cs="等线(中文正文)" w:eastAsia="等线(中文正文)"/>
          <w:b w:val="false"/>
          <w:i w:val="false"/>
          <w:sz w:val="20"/>
        </w:rPr>
        <w:t/>
      </w:r>
    </w:p>
    <w:p>
      <w:pPr>
        <w:pStyle w:val="ab"/>
      </w:pPr>
      <w:r>
        <w:t>发言人1 问：新规具体实施后，将解决哪些核心问题？</w:t>
      </w:r>
    </w:p>
    <w:p>
      <w:r>
        <w:rPr>
          <w:rFonts w:ascii="等线(中文正文)" w:hAnsi="等线(中文正文)" w:cs="等线(中文正文)" w:eastAsia="等线(中文正文)"/>
          <w:b w:val="false"/>
          <w:i w:val="false"/>
          <w:sz w:val="20"/>
        </w:rPr>
        <w:t>发言人1 答：新规实施后，主要解决支付两张皮的问题，即资产配置政策与负债端业务规划、产品开发之间的脱节，尤其强调优化负债端产品业务结构。同时，强化了战略配置与战术配置的协调性，增加了压力测试要求及预防性措施，并对产品定价政策、长期收益率要求和风险偏好传递至投资端进行了明确。</w:t>
      </w:r>
    </w:p>
    <w:p>
      <w:r>
        <w:rPr>
          <w:rFonts w:ascii="等线(中文正文)" w:hAnsi="等线(中文正文)" w:cs="等线(中文正文)" w:eastAsia="等线(中文正文)"/>
          <w:b w:val="false"/>
          <w:i w:val="false"/>
          <w:sz w:val="20"/>
        </w:rPr>
        <w:t/>
      </w:r>
    </w:p>
    <w:p>
      <w:pPr>
        <w:pStyle w:val="ab"/>
      </w:pPr>
      <w:r>
        <w:t>发言人1 问：新规中的监管指标有哪些，以及与征求意见稿相比有哪些调整？</w:t>
      </w:r>
    </w:p>
    <w:p>
      <w:r>
        <w:rPr>
          <w:rFonts w:ascii="等线(中文正文)" w:hAnsi="等线(中文正文)" w:cs="等线(中文正文)" w:eastAsia="等线(中文正文)"/>
          <w:b w:val="false"/>
          <w:i w:val="false"/>
          <w:sz w:val="20"/>
        </w:rPr>
        <w:t>发言人1 答：新规中的监管指标包括沉淀资金覆盖率、收入覆盖率和压力情景下的流动性覆盖率。相较于征求意见稿，沉淀资金算法和重量级资产定义有所调整，例如删除了政府和准政府债券以及部分权益条款的投资从重量级资产中剔除，使得持有利率债券的保险公司达标压力减轻。同时，监测指标新增了三年平均的综合收益率等指标，对寿险公司的达标压力相对较大。</w:t>
      </w:r>
    </w:p>
    <w:p>
      <w:r>
        <w:rPr>
          <w:rFonts w:ascii="等线(中文正文)" w:hAnsi="等线(中文正文)" w:cs="等线(中文正文)" w:eastAsia="等线(中文正文)"/>
          <w:b w:val="false"/>
          <w:i w:val="false"/>
          <w:sz w:val="20"/>
        </w:rPr>
        <w:t/>
      </w:r>
    </w:p>
    <w:p>
      <w:pPr>
        <w:pStyle w:val="ab"/>
      </w:pPr>
      <w:r>
        <w:t>发言人1 问：在寿险公司监管指标中，期限结构的监管指标在正式发布的文章中被修改为什么名称？新的利率风险对冲率与征求意见稿中的规模调整后有效性久缺口有何区别？</w:t>
      </w:r>
    </w:p>
    <w:p>
      <w:r>
        <w:rPr>
          <w:rFonts w:ascii="等线(中文正文)" w:hAnsi="等线(中文正文)" w:cs="等线(中文正文)" w:eastAsia="等线(中文正文)"/>
          <w:b w:val="false"/>
          <w:i w:val="false"/>
          <w:sz w:val="20"/>
        </w:rPr>
        <w:t>发言人1 答：正式发布的文章中，期限结构的监管指标改为了“利率风险对冲率”。新提出的利率风险对冲率基于实际市场利率和利率曲线进行测算，上下变动幅度为50个BP，并且更侧重于资产端含权债券的有效久期缺口，而过去旧规中的对冲率可能直接引用偿付能力口径下的对冲率，两者存在量纲差异。</w:t>
      </w:r>
    </w:p>
    <w:p>
      <w:r>
        <w:rPr>
          <w:rFonts w:ascii="等线(中文正文)" w:hAnsi="等线(中文正文)" w:cs="等线(中文正文)" w:eastAsia="等线(中文正文)"/>
          <w:b w:val="false"/>
          <w:i w:val="false"/>
          <w:sz w:val="20"/>
        </w:rPr>
        <w:t/>
      </w:r>
    </w:p>
    <w:p>
      <w:pPr>
        <w:pStyle w:val="ab"/>
      </w:pPr>
      <w:r>
        <w:t>发言人1 问：综合投资收益覆盖率的核心区别是什么？净投资收益覆盖率和综合投资收益覆盖率的具体构成是什么？</w:t>
      </w:r>
    </w:p>
    <w:p>
      <w:r>
        <w:rPr>
          <w:rFonts w:ascii="等线(中文正文)" w:hAnsi="等线(中文正文)" w:cs="等线(中文正文)" w:eastAsia="等线(中文正文)"/>
          <w:b w:val="false"/>
          <w:i w:val="false"/>
          <w:sz w:val="20"/>
        </w:rPr>
        <w:t>发言人1 答：综合投资收益覆盖率的核心区别在于剔除了欧塞寨公允价值变动的影响，并且评价周期为五年。该指标主要体现寿险公司因资产负债匹配要求而持有的债券价值变动，这部分无论是浮盈还是浮亏都不计入综合投资收益率覆盖指标的计算中。净投资收益覆盖率包括股息、红利以及各类资产（如债券）的利息收入。综合投资收益覆盖率则是一个更为全面的指标，具体计算细节建议参考相关会计准则下的详细公式。</w:t>
      </w:r>
    </w:p>
    <w:p>
      <w:r>
        <w:rPr>
          <w:rFonts w:ascii="等线(中文正文)" w:hAnsi="等线(中文正文)" w:cs="等线(中文正文)" w:eastAsia="等线(中文正文)"/>
          <w:b w:val="false"/>
          <w:i w:val="false"/>
          <w:sz w:val="20"/>
        </w:rPr>
        <w:t/>
      </w:r>
    </w:p>
    <w:p>
      <w:pPr>
        <w:pStyle w:val="ab"/>
      </w:pPr>
      <w:r>
        <w:t>发言人1 问：对于净投资收益的负债率这一指标的理解是什么？</w:t>
      </w:r>
    </w:p>
    <w:p>
      <w:r>
        <w:rPr>
          <w:rFonts w:ascii="等线(中文正文)" w:hAnsi="等线(中文正文)" w:cs="等线(中文正文)" w:eastAsia="等线(中文正文)"/>
          <w:b w:val="false"/>
          <w:i w:val="false"/>
          <w:sz w:val="20"/>
        </w:rPr>
        <w:t>发言人1 答：净投资收益的负债率是一个包含债的收益、股息收入以及长期股权投资等在内的全面收益指标，它旨在为监管制度提供一个明确的口径，以确保保险公司能够准确报告其净投资收益情况。</w:t>
      </w:r>
    </w:p>
    <w:p>
      <w:r>
        <w:rPr>
          <w:rFonts w:ascii="等线(中文正文)" w:hAnsi="等线(中文正文)" w:cs="等线(中文正文)" w:eastAsia="等线(中文正文)"/>
          <w:b w:val="false"/>
          <w:i w:val="false"/>
          <w:sz w:val="20"/>
        </w:rPr>
        <w:t/>
      </w:r>
    </w:p>
    <w:p>
      <w:pPr>
        <w:pStyle w:val="ab"/>
      </w:pPr>
      <w:r>
        <w:t>发言人1 问：关于监管指标的过渡期要求是怎样的？</w:t>
      </w:r>
    </w:p>
    <w:p>
      <w:r>
        <w:rPr>
          <w:rFonts w:ascii="等线(中文正文)" w:hAnsi="等线(中文正文)" w:cs="等线(中文正文)" w:eastAsia="等线(中文正文)"/>
          <w:b w:val="false"/>
          <w:i w:val="false"/>
          <w:sz w:val="20"/>
        </w:rPr>
        <w:t>发言人1 答：过渡期为四年，不要求公司在第一年就满足所有监管指标要求，但需要制定改善计划并在三年过渡期后达到监管指标。在此期间，公司需逐年根据计划改善指标，直至符合监管要求，对于未能达到指标的公司，监管机构将采取谈话、监管意见书、压力测试以及要求提交改善计划等措施。</w:t>
      </w:r>
    </w:p>
    <w:p>
      <w:r>
        <w:rPr>
          <w:rFonts w:ascii="等线(中文正文)" w:hAnsi="等线(中文正文)" w:cs="等线(中文正文)" w:eastAsia="等线(中文正文)"/>
          <w:b w:val="false"/>
          <w:i w:val="false"/>
          <w:sz w:val="20"/>
        </w:rPr>
        <w:t/>
      </w:r>
    </w:p>
    <w:p>
      <w:pPr>
        <w:pStyle w:val="ab"/>
      </w:pPr>
      <w:r>
        <w:t>发言人1 问：新规对哪些主体适用，以及对政策性保险公司、相互保险公司等有何影响？</w:t>
      </w:r>
    </w:p>
    <w:p>
      <w:r>
        <w:rPr>
          <w:rFonts w:ascii="等线(中文正文)" w:hAnsi="等线(中文正文)" w:cs="等线(中文正文)" w:eastAsia="等线(中文正文)"/>
          <w:b w:val="false"/>
          <w:i w:val="false"/>
          <w:sz w:val="20"/>
        </w:rPr>
        <w:t>发言人1 答：新规不仅适用于保险公司，也适用于保险集团公司、资管公司等，并且从2023年1月1日起开始执行。对于那些不再披露风险报告的公司，也需要按照新规则的要求进行整改，遵守资产负债管理的相关规定。</w:t>
      </w:r>
    </w:p>
    <w:p>
      <w:r>
        <w:rPr>
          <w:rFonts w:ascii="等线(中文正文)" w:hAnsi="等线(中文正文)" w:cs="等线(中文正文)" w:eastAsia="等线(中文正文)"/>
          <w:b w:val="false"/>
          <w:i w:val="false"/>
          <w:sz w:val="20"/>
        </w:rPr>
        <w:t/>
      </w:r>
    </w:p>
    <w:p>
      <w:pPr>
        <w:pStyle w:val="ab"/>
      </w:pPr>
      <w:r>
        <w:t>发言人1 问：监测指标和评分指标在约束力上是否有区别？</w:t>
      </w:r>
    </w:p>
    <w:p>
      <w:r>
        <w:rPr>
          <w:rFonts w:ascii="等线(中文正文)" w:hAnsi="等线(中文正文)" w:cs="等线(中文正文)" w:eastAsia="等线(中文正文)"/>
          <w:b w:val="false"/>
          <w:i w:val="false"/>
          <w:sz w:val="20"/>
        </w:rPr>
        <w:t>发言人1 答：监管指标具有硬约束力，若不达标，公司需要制定改善计划并在未来达到标准。监测指标和评分指标虽然没有硬约束力，但对公司的内部管理和应用有指导作用，若出现异常或恶化趋势，也可能会引起监管关注，并要求公司做出解释或采取措施加强管理。</w:t>
      </w:r>
    </w:p>
    <w:p>
      <w:r>
        <w:rPr>
          <w:rFonts w:ascii="等线(中文正文)" w:hAnsi="等线(中文正文)" w:cs="等线(中文正文)" w:eastAsia="等线(中文正文)"/>
          <w:b w:val="false"/>
          <w:i w:val="false"/>
          <w:sz w:val="20"/>
        </w:rPr>
        <w:t/>
      </w:r>
    </w:p>
    <w:p>
      <w:pPr>
        <w:pStyle w:val="ab"/>
      </w:pPr>
      <w:r>
        <w:t>发言人1 问：监管指标中，基金和资管产品的红利收益是否计入金融投资收益率？不动产租金收入和长期股权投资中权益法核算的收益如何处理？</w:t>
      </w:r>
    </w:p>
    <w:p>
      <w:r>
        <w:rPr>
          <w:rFonts w:ascii="等线(中文正文)" w:hAnsi="等线(中文正文)" w:cs="等线(中文正文)" w:eastAsia="等线(中文正文)"/>
          <w:b w:val="false"/>
          <w:i w:val="false"/>
          <w:sz w:val="20"/>
        </w:rPr>
        <w:t>发言人1 答：是的，基金和资管产品的红利收益也会被计入金融投资收益率中。对于不动产租金收入，以及长期股权投资采用权益法核算时，被投资企业的金融资产净利润和其他综合收益会按照持股比例确认到保险公司的投资收益中。在计算净投资收益时，会将收到的现金股息收入纳入其中。</w:t>
      </w:r>
    </w:p>
    <w:p>
      <w:r>
        <w:rPr>
          <w:rFonts w:ascii="等线(中文正文)" w:hAnsi="等线(中文正文)" w:cs="等线(中文正文)" w:eastAsia="等线(中文正文)"/>
          <w:b w:val="false"/>
          <w:i w:val="false"/>
          <w:sz w:val="20"/>
        </w:rPr>
        <w:t/>
      </w:r>
    </w:p>
    <w:p>
      <w:pPr>
        <w:pStyle w:val="ab"/>
      </w:pPr>
      <w:r>
        <w:t>发言人1 问：综合收益率与负债成本之间的关系是怎样的？</w:t>
      </w:r>
    </w:p>
    <w:p>
      <w:r>
        <w:rPr>
          <w:rFonts w:ascii="等线(中文正文)" w:hAnsi="等线(中文正文)" w:cs="等线(中文正文)" w:eastAsia="等线(中文正文)"/>
          <w:b w:val="false"/>
          <w:i w:val="false"/>
          <w:sz w:val="20"/>
        </w:rPr>
        <w:t>发言人1 答：综合收益率并不直接覆盖负债成本，即使计算出的综合收益率高于负债成本，也不能保证覆盖。实际指标计算过程中，是各自计算负债成本和投资收益的额对额覆盖面。</w:t>
      </w:r>
    </w:p>
    <w:p>
      <w:r>
        <w:rPr>
          <w:rFonts w:ascii="等线(中文正文)" w:hAnsi="等线(中文正文)" w:cs="等线(中文正文)" w:eastAsia="等线(中文正文)"/>
          <w:b w:val="false"/>
          <w:i w:val="false"/>
          <w:sz w:val="20"/>
        </w:rPr>
        <w:t/>
      </w:r>
    </w:p>
    <w:p>
      <w:pPr>
        <w:pStyle w:val="ab"/>
      </w:pPr>
      <w:r>
        <w:t>发言人1 问：为什么没有总投收益覆盖率这一说法？</w:t>
      </w:r>
    </w:p>
    <w:p>
      <w:r>
        <w:rPr>
          <w:rFonts w:ascii="等线(中文正文)" w:hAnsi="等线(中文正文)" w:cs="等线(中文正文)" w:eastAsia="等线(中文正文)"/>
          <w:b w:val="false"/>
          <w:i w:val="false"/>
          <w:sz w:val="20"/>
        </w:rPr>
        <w:t>发言人1 答：监管角度考虑，持续稳定的经营程度从金融资产的角度衡量更合适。新的会计准则下，虽然会影响会计收益率，但对综合收益率的影响较小，因此更侧重于使用综合收益率来评估保险公司净资产稳健增长的能力。</w:t>
      </w:r>
    </w:p>
    <w:p>
      <w:r>
        <w:rPr>
          <w:rFonts w:ascii="等线(中文正文)" w:hAnsi="等线(中文正文)" w:cs="等线(中文正文)" w:eastAsia="等线(中文正文)"/>
          <w:b w:val="false"/>
          <w:i w:val="false"/>
          <w:sz w:val="20"/>
        </w:rPr>
        <w:t/>
      </w:r>
    </w:p>
    <w:p>
      <w:pPr>
        <w:pStyle w:val="ab"/>
      </w:pPr>
      <w:r>
        <w:t>发言人1 问：为什么在监管指标中未使用类似“打平收益率”的概念？</w:t>
      </w:r>
    </w:p>
    <w:p>
      <w:r>
        <w:rPr>
          <w:rFonts w:ascii="等线(中文正文)" w:hAnsi="等线(中文正文)" w:cs="等线(中文正文)" w:eastAsia="等线(中文正文)"/>
          <w:b w:val="false"/>
          <w:i w:val="false"/>
          <w:sz w:val="20"/>
        </w:rPr>
        <w:t>发言人1 答：主要是因为在新旧会计准则转换中，不同公司可能使用不同的会计政策，很难准确计量准备差异，并考虑到各家公司评估基础假设的不具可比性，所以从监管指标设计角度出发，更注重不同公司间的公平性和指标可比性。</w:t>
      </w:r>
    </w:p>
    <w:p>
      <w:r>
        <w:rPr>
          <w:rFonts w:ascii="等线(中文正文)" w:hAnsi="等线(中文正文)" w:cs="等线(中文正文)" w:eastAsia="等线(中文正文)"/>
          <w:b w:val="false"/>
          <w:i w:val="false"/>
          <w:sz w:val="20"/>
        </w:rPr>
        <w:t/>
      </w:r>
    </w:p>
    <w:p>
      <w:pPr>
        <w:pStyle w:val="ab"/>
      </w:pPr>
      <w:r>
        <w:t>发言人1 问：负债保证成本和负债资金成本是如何理解的？</w:t>
      </w:r>
    </w:p>
    <w:p>
      <w:r>
        <w:rPr>
          <w:rFonts w:ascii="等线(中文正文)" w:hAnsi="等线(中文正文)" w:cs="等线(中文正文)" w:eastAsia="等线(中文正文)"/>
          <w:b w:val="false"/>
          <w:i w:val="false"/>
          <w:sz w:val="20"/>
        </w:rPr>
        <w:t>发言人1 答：负债保证成本是对一定利率下保费加权的概念，而负债资金成本则是对传统险和万能险等浮动收益型负债端产品的结算水平进行计算。两者主要体现在极端情况下保险公司持续经营的成本率，其中保证成本不考虑给客户收益的部分，而资金成本则更贴近当前经营状况。</w:t>
      </w:r>
    </w:p>
    <w:p>
      <w:r>
        <w:rPr>
          <w:rFonts w:ascii="等线(中文正文)" w:hAnsi="等线(中文正文)" w:cs="等线(中文正文)" w:eastAsia="等线(中文正文)"/>
          <w:b w:val="false"/>
          <w:i w:val="false"/>
          <w:sz w:val="20"/>
        </w:rPr>
        <w:t/>
      </w:r>
    </w:p>
    <w:p>
      <w:pPr>
        <w:pStyle w:val="ab"/>
      </w:pPr>
      <w:r>
        <w:t>发言人1 问：目前行业内负债保证成本、资金成本、净投资收益和综合投资收益的大致水平是多少？</w:t>
      </w:r>
    </w:p>
    <w:p>
      <w:r>
        <w:rPr>
          <w:rFonts w:ascii="等线(中文正文)" w:hAnsi="等线(中文正文)" w:cs="等线(中文正文)" w:eastAsia="等线(中文正文)"/>
          <w:b w:val="false"/>
          <w:i w:val="false"/>
          <w:sz w:val="20"/>
        </w:rPr>
        <w:t>发言人1 答：行业内负债保证成本大概在3%左右，资金成本略高；净投资收益和综合投资收益整体上可能在3%到3.25%之间。大型公司的这两个指标会相对低一些，小型公司可能略高，但差异不大。随着分红险占比提升，负债结构变化可能会导致两者差距有所调整。</w:t>
      </w:r>
    </w:p>
    <w:p>
      <w:r>
        <w:rPr>
          <w:rFonts w:ascii="等线(中文正文)" w:hAnsi="等线(中文正文)" w:cs="等线(中文正文)" w:eastAsia="等线(中文正文)"/>
          <w:b w:val="false"/>
          <w:i w:val="false"/>
          <w:sz w:val="20"/>
        </w:rPr>
        <w:t/>
      </w:r>
    </w:p>
    <w:p>
      <w:pPr>
        <w:pStyle w:val="ab"/>
      </w:pPr>
      <w:r>
        <w:t>发言人1 问：行业整体资产收益率中枢和行业负债成本中枢的大致范围是怎样的？</w:t>
      </w:r>
    </w:p>
    <w:p>
      <w:r>
        <w:rPr>
          <w:rFonts w:ascii="等线(中文正文)" w:hAnsi="等线(中文正文)" w:cs="等线(中文正文)" w:eastAsia="等线(中文正文)"/>
          <w:b w:val="false"/>
          <w:i w:val="false"/>
          <w:sz w:val="20"/>
        </w:rPr>
        <w:t>发言人1 答：行业整体资产收益率中枢接近3%，行业负债成本中枢也在3%左右，从行业整体来看，两者匹配度较为接近。大型公司在历史配置和资本承受力上可能更有优势，中小公司在非标资产配置和市场利率窗口把握等方面可能存在压力。</w:t>
      </w:r>
    </w:p>
    <w:p>
      <w:r>
        <w:rPr>
          <w:rFonts w:ascii="等线(中文正文)" w:hAnsi="等线(中文正文)" w:cs="等线(中文正文)" w:eastAsia="等线(中文正文)"/>
          <w:b w:val="false"/>
          <w:i w:val="false"/>
          <w:sz w:val="20"/>
        </w:rPr>
        <w:t/>
      </w:r>
    </w:p>
    <w:p>
      <w:pPr>
        <w:pStyle w:val="ab"/>
      </w:pPr>
      <w:r>
        <w:t>发言人1 问：新规对大类资产配置有哪些约束和引导性方向？</w:t>
      </w:r>
    </w:p>
    <w:p>
      <w:r>
        <w:rPr>
          <w:rFonts w:ascii="等线(中文正文)" w:hAnsi="等线(中文正文)" w:cs="等线(中文正文)" w:eastAsia="等线(中文正文)"/>
          <w:b w:val="false"/>
          <w:i w:val="false"/>
          <w:sz w:val="20"/>
        </w:rPr>
        <w:t>发言人1 答：对于债券配置，新规强化了利率风险对冲的要求，过去通过久期缺口管理，现在需基于有效久期缺口进行计算，达标配置长期债券以确保利率风险对冲能力。同时，对于股票和其他资产类别，也有相应的配置比例规划和约束，但具体影响需根据SA和PA角度进一步分析。</w:t>
      </w:r>
    </w:p>
    <w:p>
      <w:r>
        <w:rPr>
          <w:rFonts w:ascii="等线(中文正文)" w:hAnsi="等线(中文正文)" w:cs="等线(中文正文)" w:eastAsia="等线(中文正文)"/>
          <w:b w:val="false"/>
          <w:i w:val="false"/>
          <w:sz w:val="20"/>
        </w:rPr>
        <w:t/>
      </w:r>
    </w:p>
    <w:p>
      <w:pPr>
        <w:pStyle w:val="ab"/>
      </w:pPr>
      <w:r>
        <w:t>发言人1 问：在实施行为后，对于中小型公司如果对冲率较低，应该如何配置债券以满足对手率要求，并且如何兼顾金融投资收益？</w:t>
      </w:r>
    </w:p>
    <w:p>
      <w:r>
        <w:rPr>
          <w:rFonts w:ascii="等线(中文正文)" w:hAnsi="等线(中文正文)" w:cs="等线(中文正文)" w:eastAsia="等线(中文正文)"/>
          <w:b w:val="false"/>
          <w:i w:val="false"/>
          <w:sz w:val="20"/>
        </w:rPr>
        <w:t>发言人1 答：需要有一个明确的计划逐步增加债券配置，包括具体配债数量，确保在长期情况下，长久期债券的票息水平高于短久期信用债，同时通过配置长债改善综合收益覆盖率。此外，还需注意资产负债匹配，避免对SOC债的波动产生负面影响。</w:t>
      </w:r>
    </w:p>
    <w:p>
      <w:r>
        <w:rPr>
          <w:rFonts w:ascii="等线(中文正文)" w:hAnsi="等线(中文正文)" w:cs="等线(中文正文)" w:eastAsia="等线(中文正文)"/>
          <w:b w:val="false"/>
          <w:i w:val="false"/>
          <w:sz w:val="20"/>
        </w:rPr>
        <w:t/>
      </w:r>
    </w:p>
    <w:p>
      <w:pPr>
        <w:pStyle w:val="ab"/>
      </w:pPr>
      <w:r>
        <w:t>发言人1 问：定投收益覆盖率方面，对于OC股票的配置有何建议？</w:t>
      </w:r>
    </w:p>
    <w:p>
      <w:r>
        <w:rPr>
          <w:rFonts w:ascii="等线(中文正文)" w:hAnsi="等线(中文正文)" w:cs="等线(中文正文)" w:eastAsia="等线(中文正文)"/>
          <w:b w:val="false"/>
          <w:i w:val="false"/>
          <w:sz w:val="20"/>
        </w:rPr>
        <w:t>发言人1 答：尽管从股价表现看成长股可能更强，但从长期角度看，配置一定比例的OC股票能优化镜头收益。保险公司应从内部管理和指标上考虑合适比例的OC股票配置以提升镜头收益。</w:t>
      </w:r>
    </w:p>
    <w:p>
      <w:r>
        <w:rPr>
          <w:rFonts w:ascii="等线(中文正文)" w:hAnsi="等线(中文正文)" w:cs="等线(中文正文)" w:eastAsia="等线(中文正文)"/>
          <w:b w:val="false"/>
          <w:i w:val="false"/>
          <w:sz w:val="20"/>
        </w:rPr>
        <w:t/>
      </w:r>
    </w:p>
    <w:p>
      <w:pPr>
        <w:pStyle w:val="ab"/>
      </w:pPr>
      <w:r>
        <w:t>发言人1 问：在当前市场环境下，保险资金如何在债券与股票之间进行投资决策？</w:t>
      </w:r>
    </w:p>
    <w:p>
      <w:r>
        <w:rPr>
          <w:rFonts w:ascii="等线(中文正文)" w:hAnsi="等线(中文正文)" w:cs="等线(中文正文)" w:eastAsia="等线(中文正文)"/>
          <w:b w:val="false"/>
          <w:i w:val="false"/>
          <w:sz w:val="20"/>
        </w:rPr>
        <w:t>发言人1 答：由于债券收益更多跟随市场波动，可通过信用下沉或提升久期来寻找投资机会，但需综合评估资本因素及市值波动对保险公司偿付能力管理的影响。同时，也可关注新型另类投资，如多层次REITs等，因其具有高分红、收益稳定且经营期限长的特点，适合保险机构从投资期限和收益稳定性角度进行配置。</w:t>
      </w:r>
    </w:p>
    <w:p>
      <w:r>
        <w:rPr>
          <w:rFonts w:ascii="等线(中文正文)" w:hAnsi="等线(中文正文)" w:cs="等线(中文正文)" w:eastAsia="等线(中文正文)"/>
          <w:b w:val="false"/>
          <w:i w:val="false"/>
          <w:sz w:val="20"/>
        </w:rPr>
        <w:t/>
      </w:r>
    </w:p>
    <w:p>
      <w:pPr>
        <w:pStyle w:val="ab"/>
      </w:pPr>
      <w:r>
        <w:t>发言人1 问：新规背景下，保险公司如何调整投资组合以满足监管要求？</w:t>
      </w:r>
    </w:p>
    <w:p>
      <w:r>
        <w:rPr>
          <w:rFonts w:ascii="等线(中文正文)" w:hAnsi="等线(中文正文)" w:cs="等线(中文正文)" w:eastAsia="等线(中文正文)"/>
          <w:b w:val="false"/>
          <w:i w:val="false"/>
          <w:sz w:val="20"/>
        </w:rPr>
        <w:t>发言人1 答：理论上，应引导部分公司增加债券配置并提高A股配置，以提升镜头收益覆盖率。同时，负债端也需要采取实质举措降低刚性负债成本，从支付两端共同推进指标改善。</w:t>
      </w:r>
    </w:p>
    <w:p>
      <w:r>
        <w:rPr>
          <w:rFonts w:ascii="等线(中文正文)" w:hAnsi="等线(中文正文)" w:cs="等线(中文正文)" w:eastAsia="等线(中文正文)"/>
          <w:b w:val="false"/>
          <w:i w:val="false"/>
          <w:sz w:val="20"/>
        </w:rPr>
        <w:t/>
      </w:r>
    </w:p>
    <w:p>
      <w:pPr>
        <w:pStyle w:val="ab"/>
      </w:pPr>
      <w:r>
        <w:t>发言人1 问：对于2026年报告中的三年平均投资收益计算，如何理解其涵盖的年度范围及与之前年度的关系？</w:t>
      </w:r>
    </w:p>
    <w:p>
      <w:r>
        <w:rPr>
          <w:rFonts w:ascii="等线(中文正文)" w:hAnsi="等线(中文正文)" w:cs="等线(中文正文)" w:eastAsia="等线(中文正文)"/>
          <w:b w:val="false"/>
          <w:i w:val="false"/>
          <w:sz w:val="20"/>
        </w:rPr>
        <w:t>发言人1 答：2026年的报告会披露过去三年（2024-2026年）的滚动投资收益与负债成本的比值，而2025年的数据也会包含在年报中。计算时会考虑到较早年度的数据，允许公司在一定的时间窗口内进行调整。</w:t>
      </w:r>
    </w:p>
    <w:p>
      <w:r>
        <w:rPr>
          <w:rFonts w:ascii="等线(中文正文)" w:hAnsi="等线(中文正文)" w:cs="等线(中文正文)" w:eastAsia="等线(中文正文)"/>
          <w:b w:val="false"/>
          <w:i w:val="false"/>
          <w:sz w:val="20"/>
        </w:rPr>
        <w:t/>
      </w:r>
    </w:p>
    <w:p>
      <w:pPr>
        <w:pStyle w:val="ab"/>
      </w:pPr>
      <w:r>
        <w:t>发言人1 问：资产负债管理部门设立的要求以及三年过渡期的设定背后有何考虑？</w:t>
      </w:r>
    </w:p>
    <w:p>
      <w:r>
        <w:rPr>
          <w:rFonts w:ascii="等线(中文正文)" w:hAnsi="等线(中文正文)" w:cs="等线(中文正文)" w:eastAsia="等线(中文正文)"/>
          <w:b w:val="false"/>
          <w:i w:val="false"/>
          <w:sz w:val="20"/>
        </w:rPr>
        <w:t>发言人1 答：设立独立的资产负债管理部门是为了更有效地推动和管理资产负债匹配，不同公司因职责分工、专业人才配备等因素可能存在差异。三年过渡期是为了给予各家公司调整的空间，尤其是对于资产匹配做得较好、指标已达标或较难达标的企业，可通过部门设置和管理架构调整来逐步适应新要求。</w:t>
      </w:r>
    </w:p>
    <w:p>
      <w:r>
        <w:rPr>
          <w:rFonts w:ascii="等线(中文正文)" w:hAnsi="等线(中文正文)" w:cs="等线(中文正文)" w:eastAsia="等线(中文正文)"/>
          <w:b w:val="false"/>
          <w:i w:val="false"/>
          <w:sz w:val="20"/>
        </w:rPr>
        <w:t/>
      </w:r>
    </w:p>
    <w:p>
      <w:pPr>
        <w:pStyle w:val="ab"/>
      </w:pPr>
      <w:r>
        <w:t>发言人1 问：从新规角度看，保险资管公司在受托人角度应承担哪些职能？</w:t>
      </w:r>
    </w:p>
    <w:p>
      <w:r>
        <w:rPr>
          <w:rFonts w:ascii="等线(中文正文)" w:hAnsi="等线(中文正文)" w:cs="等线(中文正文)" w:eastAsia="等线(中文正文)"/>
          <w:b w:val="false"/>
          <w:i w:val="false"/>
          <w:sz w:val="20"/>
        </w:rPr>
        <w:t>发言人1 答：保险资管公司在新规下需摒弃仅从资产端配置的理念，更多地从整体资源配置、管理架构和责任考核传导链条机制等方面进行调整，配合寿险主体优化资源配置，体现财寿险联动效应。</w:t>
      </w:r>
    </w:p>
    <w:p>
      <w:r>
        <w:rPr>
          <w:rFonts w:ascii="等线(中文正文)" w:hAnsi="等线(中文正文)" w:cs="等线(中文正文)" w:eastAsia="等线(中文正文)"/>
          <w:b w:val="false"/>
          <w:i w:val="false"/>
          <w:sz w:val="20"/>
        </w:rPr>
        <w:t/>
      </w:r>
    </w:p>
    <w:p>
      <w:pPr>
        <w:pStyle w:val="ab"/>
      </w:pPr>
      <w:r>
        <w:t>发言人1 问：对冲率是否可以直接理解为资产有效久期除以负债有效久期？</w:t>
      </w:r>
    </w:p>
    <w:p>
      <w:r>
        <w:rPr>
          <w:rFonts w:ascii="等线(中文正文)" w:hAnsi="等线(中文正文)" w:cs="等线(中文正文)" w:eastAsia="等线(中文正文)"/>
          <w:b w:val="false"/>
          <w:i w:val="false"/>
          <w:sz w:val="20"/>
        </w:rPr>
        <w:t>发言人1 答：对冲率计算上虽与资产有效久期除以负债有效久期类似，但还需考虑规模、资产久期中包含的负债流入周期以及利弊衍生品的应用情况。新规下对冲率的计算并未大幅度放松，但仍体现了逐渐放宽衍生品应用，提高管理效率的趋势。</w:t>
      </w:r>
    </w:p>
    <w:p>
      <w:r>
        <w:rPr>
          <w:rFonts w:ascii="等线(中文正文)" w:hAnsi="等线(中文正文)" w:cs="等线(中文正文)" w:eastAsia="等线(中文正文)"/>
          <w:b w:val="false"/>
          <w:i w:val="false"/>
          <w:sz w:val="20"/>
        </w:rPr>
        <w:t/>
      </w:r>
    </w:p>
    <w:p>
      <w:pPr>
        <w:pStyle w:val="ab"/>
      </w:pPr>
      <w:r>
        <w:t>发言人1 问：从监管指标角度来讲，是否考虑免税投资收益的影响？监管要求对公司的约束行为如何理解？</w:t>
      </w:r>
    </w:p>
    <w:p>
      <w:r>
        <w:rPr>
          <w:rFonts w:ascii="等线(中文正文)" w:hAnsi="等线(中文正文)" w:cs="等线(中文正文)" w:eastAsia="等线(中文正文)"/>
          <w:b w:val="false"/>
          <w:i w:val="false"/>
          <w:sz w:val="20"/>
        </w:rPr>
        <w:t>发言人1 答：从监管指标角度来看，计算是不考虑免税投资收益的，因为免税通常需要公司在有税前利润的情况下才能发挥作用。对于自我管理而言，防范资金错配风险是必要的，但监管要求可能不会全面涵盖所有情况。监管要求设定的是一个下限，如果公司有持续利润并存在税收管理需求，可以在内部管理中纳入考虑。免税投资收益等政策变化因素，以及保险行业盈利压力大，使得原先一些免税投资考核的引导现在相对较少。</w:t>
      </w:r>
    </w:p>
    <w:p>
      <w:r>
        <w:rPr>
          <w:rFonts w:ascii="等线(中文正文)" w:hAnsi="等线(中文正文)" w:cs="等线(中文正文)" w:eastAsia="等线(中文正文)"/>
          <w:b w:val="false"/>
          <w:i w:val="false"/>
          <w:sz w:val="20"/>
        </w:rPr>
        <w:t/>
      </w:r>
    </w:p>
    <w:p>
      <w:pPr>
        <w:pStyle w:val="ab"/>
      </w:pPr>
      <w:r>
        <w:t>发言人1 问：文件对于公司约束行为的影响是否会打折扣？</w:t>
      </w:r>
    </w:p>
    <w:p>
      <w:r>
        <w:rPr>
          <w:rFonts w:ascii="等线(中文正文)" w:hAnsi="等线(中文正文)" w:cs="等线(中文正文)" w:eastAsia="等线(中文正文)"/>
          <w:b w:val="false"/>
          <w:i w:val="false"/>
          <w:sz w:val="20"/>
        </w:rPr>
        <w:t>发言人1 答：监管指标确实可能存在一些不能完全全面反映公司经营状况的问题，但监管规定设置了过渡期，并要求保险公司提供改善计划。即使最终达标有困难，也需努力进行边际改善，至少要有阶段性的增配计划。</w:t>
      </w:r>
    </w:p>
    <w:p>
      <w:r>
        <w:rPr>
          <w:rFonts w:ascii="等线(中文正文)" w:hAnsi="等线(中文正文)" w:cs="等线(中文正文)" w:eastAsia="等线(中文正文)"/>
          <w:b w:val="false"/>
          <w:i w:val="false"/>
          <w:sz w:val="20"/>
        </w:rPr>
        <w:t/>
      </w:r>
    </w:p>
    <w:p>
      <w:pPr>
        <w:pStyle w:val="ab"/>
      </w:pPr>
      <w:r>
        <w:t>发言人1 问：关于文件中时效性动作的反馈如何？</w:t>
      </w:r>
    </w:p>
    <w:p>
      <w:r>
        <w:rPr>
          <w:rFonts w:ascii="等线(中文正文)" w:hAnsi="等线(中文正文)" w:cs="等线(中文正文)" w:eastAsia="等线(中文正文)"/>
          <w:b w:val="false"/>
          <w:i w:val="false"/>
          <w:sz w:val="20"/>
        </w:rPr>
        <w:t>发言人1 答：各家公司的反馈时效性各异，难以给出确切时效性结论。大多数公司可能有相应动作，但具体实施效果和节奏因公司而异，需要结合长期方向和短期市场情况进行综合判断。</w:t>
      </w:r>
    </w:p>
    <w:p>
      <w:r>
        <w:rPr>
          <w:rFonts w:ascii="等线(中文正文)" w:hAnsi="等线(中文正文)" w:cs="等线(中文正文)" w:eastAsia="等线(中文正文)"/>
          <w:b w:val="false"/>
          <w:i w:val="false"/>
          <w:sz w:val="20"/>
        </w:rPr>
        <w:t/>
      </w:r>
    </w:p>
    <w:p>
      <w:pPr>
        <w:pStyle w:val="ab"/>
      </w:pPr>
      <w:r>
        <w:t>发言人1 问：对于某公司存在特定缺口的情况，应如何行动？</w:t>
      </w:r>
    </w:p>
    <w:p>
      <w:r>
        <w:rPr>
          <w:rFonts w:ascii="等线(中文正文)" w:hAnsi="等线(中文正文)" w:cs="等线(中文正文)" w:eastAsia="等线(中文正文)"/>
          <w:b w:val="false"/>
          <w:i w:val="false"/>
          <w:sz w:val="20"/>
        </w:rPr>
        <w:t>发言人1 答：即使发现存在缺口，也不一定要求短期内完全弥补，而是需要在三年过渡期内通过调整策略、改善业务结构等方式逐渐弥合这个缺口。</w:t>
      </w:r>
    </w:p>
    <w:p>
      <w:r>
        <w:rPr>
          <w:rFonts w:ascii="等线(中文正文)" w:hAnsi="等线(中文正文)" w:cs="等线(中文正文)" w:eastAsia="等线(中文正文)"/>
          <w:b w:val="false"/>
          <w:i w:val="false"/>
          <w:sz w:val="20"/>
        </w:rPr>
        <w:t/>
      </w:r>
    </w:p>
    <w:p>
      <w:pPr>
        <w:pStyle w:val="ab"/>
      </w:pPr>
      <w:r>
        <w:t>发言人1 问：资产负债管理未来展望及改进措施是什么？</w:t>
      </w:r>
    </w:p>
    <w:p>
      <w:r>
        <w:rPr>
          <w:rFonts w:ascii="等线(中文正文)" w:hAnsi="等线(中文正文)" w:cs="等线(中文正文)" w:eastAsia="等线(中文正文)"/>
          <w:b w:val="false"/>
          <w:i w:val="false"/>
          <w:sz w:val="20"/>
        </w:rPr>
        <w:t>发言人1 答：资产负债管理方面，即使没有新监管规则，很多公司也已经在内部运用类似指标进行管理，如购买长债、配置OIC股票等。监管规则旨在传递这些理念，并强调定量指标考核与支付联动，帮助保险公司从负债端做出结构性改善，走出当前面临的金融压力局面。</w:t>
      </w:r>
    </w:p>
    <w:p>
      <w:r>
        <w:rPr>
          <w:rFonts w:ascii="等线(中文正文)" w:hAnsi="等线(中文正文)" w:cs="等线(中文正文)" w:eastAsia="等线(中文正文)"/>
          <w:b w:val="false"/>
          <w:i w:val="false"/>
          <w:sz w:val="20"/>
        </w:rPr>
        <w:t/>
      </w:r>
    </w:p>
  </w:body>
</w:document>
</file>

<file path=word/numbering.xml><?xml version="1.0" encoding="utf-8"?>
<w:numbering xmlns:w="http://schemas.openxmlformats.org/wordprocessingml/2006/main">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bering>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2026-08-24T14:21:15Z</dcterms:created>
  <dc:creator>Apache POI</dc:creator>
</cp:coreProperties>
</file>