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长江固收 - 这一年，我们的研究系列6：政策性金融工具研究框架 260824_导读</w:t>
      </w:r>
    </w:p>
    <w:p>
      <w:pPr>
        <w:pStyle w:val="a0"/>
        <w:jc w:val="center"/>
      </w:pPr>
      <w:r>
        <w:t>2026年08月24日 22:12</w:t>
      </w:r>
    </w:p>
    <w:p>
      <w:pPr>
        <w:pStyle w:val="a7"/>
      </w:pPr>
      <w:r>
        <w:t>关键词</w:t>
      </w:r>
    </w:p>
    <w:p>
      <w:r>
        <w:rPr>
          <w:rFonts w:ascii="等线(中文正文)" w:hAnsi="等线(中文正文)" w:cs="等线(中文正文)" w:eastAsia="等线(中文正文)"/>
          <w:b w:val="false"/>
          <w:i w:val="false"/>
          <w:sz w:val="20"/>
        </w:rPr>
        <w:t xml:space="preserve">资本金 撬动倍数 投放模式 新型 准财政 撬动 专项建设基金 政策行 市场化运作 发改委 基金公司 股权投资 股东借款 专项债 央企 国企 城投 数字经济 人工智能 消费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政策性金融工具作为国家开发银行、进出口银行和农业发展银行在央行支持下推出的新工具，主要用于补充重大项目的资本金，资金来源于低成本的抵押补充贷款和政策行发行的金融债券。这些工具旨在通过低成本资金和市场化运作，吸引更多的民间资本参与，以扩大有效投资。特别是2025年新设立的5000亿政策性金融工具，其目标是支持科技创新和扩大消费，强调对民间投资的促进。讨论还涉及了政策性金融工具的撬动倍数测算问题，分析了不同投放阶段的撬动倍数，并指出了测算时应注意的口径差异。总体而言，这些工具在促进经济增长、调整投资结构方面发挥着关键作用，鼓励后续交流和深入探讨。</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政策性金融工具研究：运作机制与撬动效应</w:t>
      </w:r>
    </w:p>
    <w:p>
      <w:r>
        <w:rPr>
          <w:rFonts w:ascii="等线(中文正文)" w:hAnsi="等线(中文正文)" w:cs="等线(中文正文)" w:eastAsia="等线(中文正文)"/>
          <w:b w:val="false"/>
          <w:i w:val="false"/>
          <w:sz w:val="20"/>
        </w:rPr>
        <w:t>分享了政策性金融工具的基本情况，包括其运作方式、历史复盘、投放模式与趋势，重点讨论了撬动倍数的测算方法及结果，旨在深入理解这一准财政工具的效能与影响。</w:t>
      </w:r>
    </w:p>
    <w:p>
      <w:r>
        <w:rPr>
          <w:rFonts w:ascii="等线(中文正文)" w:hAnsi="等线(中文正文)" w:cs="等线(中文正文)" w:eastAsia="等线(中文正文)"/>
          <w:b w:val="false"/>
          <w:i w:val="false"/>
          <w:sz w:val="20"/>
        </w:rPr>
        <w:t/>
      </w:r>
    </w:p>
    <w:p>
      <w:pPr>
        <w:pStyle w:val="ab"/>
        <w:numPr>
          <w:numId w:val="2"/>
        </w:numPr>
      </w:pPr>
      <w:r>
        <w:t>01:25 新型政信金融工具：政策演变与作用解析</w:t>
      </w:r>
    </w:p>
    <w:p>
      <w:r>
        <w:rPr>
          <w:rFonts w:ascii="等线(中文正文)" w:hAnsi="等线(中文正文)" w:cs="等线(中文正文)" w:eastAsia="等线(中文正文)"/>
          <w:b w:val="false"/>
          <w:i w:val="false"/>
          <w:sz w:val="20"/>
        </w:rPr>
        <w:t>对话梳理了自2025年4月中央政局会议提出设立新型政信金融工具以来的政策脉络，包括5000亿资金的快速投放、12月中央经济工作会议的持续支持、2月6日国务院常务会议的加力提效要求，以及3月政府工作报告中80亿规模的明确计划。政策措辞从设立到加力提效，体现了工具从探索阶段到常态化规模化使用的转变，旨在支持科技创新、扩大消费、稳定外贸，有效拉动投资。</w:t>
      </w:r>
    </w:p>
    <w:p>
      <w:r>
        <w:rPr>
          <w:rFonts w:ascii="等线(中文正文)" w:hAnsi="等线(中文正文)" w:cs="等线(中文正文)" w:eastAsia="等线(中文正文)"/>
          <w:b w:val="false"/>
          <w:i w:val="false"/>
          <w:sz w:val="20"/>
        </w:rPr>
        <w:t/>
      </w:r>
    </w:p>
    <w:p>
      <w:pPr>
        <w:pStyle w:val="ab"/>
        <w:numPr>
          <w:numId w:val="3"/>
        </w:numPr>
      </w:pPr>
      <w:r>
        <w:t>02:59 政策性金融工具助力重大项目资本金补充</w:t>
      </w:r>
    </w:p>
    <w:p>
      <w:r>
        <w:rPr>
          <w:rFonts w:ascii="等线(中文正文)" w:hAnsi="等线(中文正文)" w:cs="等线(中文正文)" w:eastAsia="等线(中文正文)"/>
          <w:b w:val="false"/>
          <w:i w:val="false"/>
          <w:sz w:val="20"/>
        </w:rPr>
        <w:t>政策性金融工具由国家开发银行等三家政策性银行设立，旨在填补重大项目资本金缺口，通过低成本资金和市场化运作，撬动更多民间资本参与。其定位为准财政，资金来源包括央行的抵押补充贷款和政策性银行发行的金融债券，重点支持基础设施、民生等领域，资本金比例的调整作为投资调节工具，有助于缓解融资难题，促进经济高质量发展。</w:t>
      </w:r>
    </w:p>
    <w:p>
      <w:r>
        <w:rPr>
          <w:rFonts w:ascii="等线(中文正文)" w:hAnsi="等线(中文正文)" w:cs="等线(中文正文)" w:eastAsia="等线(中文正文)"/>
          <w:b w:val="false"/>
          <w:i w:val="false"/>
          <w:sz w:val="20"/>
        </w:rPr>
        <w:t/>
      </w:r>
    </w:p>
    <w:p>
      <w:pPr>
        <w:pStyle w:val="ab"/>
        <w:numPr>
          <w:numId w:val="4"/>
        </w:numPr>
      </w:pPr>
      <w:r>
        <w:t>06:20 中信金融工具大规模启动的历史复盘</w:t>
      </w:r>
    </w:p>
    <w:p>
      <w:r>
        <w:rPr>
          <w:rFonts w:ascii="等线(中文正文)" w:hAnsi="等线(中文正文)" w:cs="等线(中文正文)" w:eastAsia="等线(中文正文)"/>
          <w:b w:val="false"/>
          <w:i w:val="false"/>
          <w:sz w:val="20"/>
        </w:rPr>
        <w:t>2015年，为应对投资增速下行和稳增长压力，发改委主导下，国开行和农发行通过专项建设基金进行大规模资金投放，主要用于基建、扶贫、轨交等项目，年利率低至1.2%，有效补充民间投资缺口，加速固定资产投资增长。2015至2017年间，累计投放约2万亿，资金投放后6-7个月形成实物工作量，对基建投资和实物工作量回升起到显著推动作用。</w:t>
      </w:r>
    </w:p>
    <w:p>
      <w:r>
        <w:rPr>
          <w:rFonts w:ascii="等线(中文正文)" w:hAnsi="等线(中文正文)" w:cs="等线(中文正文)" w:eastAsia="等线(中文正文)"/>
          <w:b w:val="false"/>
          <w:i w:val="false"/>
          <w:sz w:val="20"/>
        </w:rPr>
        <w:t/>
      </w:r>
    </w:p>
    <w:p>
      <w:pPr>
        <w:pStyle w:val="ab"/>
        <w:numPr>
          <w:numId w:val="5"/>
        </w:numPr>
      </w:pPr>
      <w:r>
        <w:t>08:55 2022年政策性开发性金融工具：稳投资与项目资本金问题的解决方案</w:t>
      </w:r>
    </w:p>
    <w:p>
      <w:r>
        <w:rPr>
          <w:rFonts w:ascii="等线(中文正文)" w:hAnsi="等线(中文正文)" w:cs="等线(中文正文)" w:eastAsia="等线(中文正文)"/>
          <w:b w:val="false"/>
          <w:i w:val="false"/>
          <w:sz w:val="20"/>
        </w:rPr>
        <w:t>2022年，为应对公共卫生事件及外部冲击导致的投资压力，政策性开发性金融工具被启动，旨在补充重大项目资本金，解决信贷额度充足但项目资本金不足的瓶颈问题。通过市场化运作，不新增地方政府债务，政策行自主决策投资项目，有效衔接专项债空档，支撑了2022年下半年至2023年的实物工作量，促进了交通、水利等基础设施及科技创新领域的投资。</w:t>
      </w:r>
    </w:p>
    <w:p>
      <w:r>
        <w:rPr>
          <w:rFonts w:ascii="等线(中文正文)" w:hAnsi="等线(中文正文)" w:cs="等线(中文正文)" w:eastAsia="等线(中文正文)"/>
          <w:b w:val="false"/>
          <w:i w:val="false"/>
          <w:sz w:val="20"/>
        </w:rPr>
        <w:t/>
      </w:r>
    </w:p>
    <w:p>
      <w:pPr>
        <w:pStyle w:val="ab"/>
        <w:numPr>
          <w:numId w:val="6"/>
        </w:numPr>
      </w:pPr>
      <w:r>
        <w:t>12:33 2025-2026年新型政策性金融工具投放与重点支持领域</w:t>
      </w:r>
    </w:p>
    <w:p>
      <w:r>
        <w:rPr>
          <w:rFonts w:ascii="等线(中文正文)" w:hAnsi="等线(中文正文)" w:cs="等线(中文正文)" w:eastAsia="等线(中文正文)"/>
          <w:b w:val="false"/>
          <w:i w:val="false"/>
          <w:sz w:val="20"/>
        </w:rPr>
        <w:t>2025年设立的新型政策性金融工具，规模5000亿，聚焦数字经济、人工智能等新领域，支持民间投资，一个月内完成投放。2026年计划8000亿额度，重点仍在于新生产力领域，预计三季度集中投放。</w:t>
      </w:r>
    </w:p>
    <w:p>
      <w:r>
        <w:rPr>
          <w:rFonts w:ascii="等线(中文正文)" w:hAnsi="等线(中文正文)" w:cs="等线(中文正文)" w:eastAsia="等线(中文正文)"/>
          <w:b w:val="false"/>
          <w:i w:val="false"/>
          <w:sz w:val="20"/>
        </w:rPr>
        <w:t/>
      </w:r>
    </w:p>
    <w:p>
      <w:pPr>
        <w:pStyle w:val="ab"/>
        <w:numPr>
          <w:numId w:val="7"/>
        </w:numPr>
      </w:pPr>
      <w:r>
        <w:t>15:16 证券金融工具投放模式与趋势分析</w:t>
      </w:r>
    </w:p>
    <w:p>
      <w:r>
        <w:rPr>
          <w:rFonts w:ascii="等线(中文正文)" w:hAnsi="等线(中文正文)" w:cs="等线(中文正文)" w:eastAsia="等线(中文正文)"/>
          <w:b w:val="false"/>
          <w:i w:val="false"/>
          <w:sz w:val="20"/>
        </w:rPr>
        <w:t>对话深入探讨了证券金融工具的投放模式，包括股权投资、股东借款和专项债资本金搭桥。重点分析了政策行设立基金公司进行直投的情况，以及股东借款模式下项目资本金的补充机制，展示了不同模式下的风险控制与资金运用策略。</w:t>
      </w:r>
    </w:p>
    <w:p>
      <w:r>
        <w:rPr>
          <w:rFonts w:ascii="等线(中文正文)" w:hAnsi="等线(中文正文)" w:cs="等线(中文正文)" w:eastAsia="等线(中文正文)"/>
          <w:b w:val="false"/>
          <w:i w:val="false"/>
          <w:sz w:val="20"/>
        </w:rPr>
        <w:t/>
      </w:r>
    </w:p>
    <w:p>
      <w:pPr>
        <w:pStyle w:val="ab"/>
        <w:numPr>
          <w:numId w:val="8"/>
        </w:numPr>
      </w:pPr>
      <w:r>
        <w:t>18:14 政策性金融工具在专项债资本金搭桥中的高效应用</w:t>
      </w:r>
    </w:p>
    <w:p>
      <w:r>
        <w:rPr>
          <w:rFonts w:ascii="等线(中文正文)" w:hAnsi="等线(中文正文)" w:cs="等线(中文正文)" w:eastAsia="等线(中文正文)"/>
          <w:b w:val="false"/>
          <w:i w:val="false"/>
          <w:sz w:val="20"/>
        </w:rPr>
        <w:t>讨论了政策性金融工具在专项债资本金尚未到位时作为搭桥资金的作用，通过先行垫付避免基建资金断档，强调其债务性质及股东偿还责任。介绍了三种投放模式，包括股权投资、股东借款和中央站搭桥，并分析了其风险与撬动逻辑的差异。特别指出政策性金融工具的快速投放节奏，从基金设立到完成首批投放均在一个月内，展示了项目储备到投放通道的成熟度和政策执行的高效率。</w:t>
      </w:r>
    </w:p>
    <w:p>
      <w:r>
        <w:rPr>
          <w:rFonts w:ascii="等线(中文正文)" w:hAnsi="等线(中文正文)" w:cs="等线(中文正文)" w:eastAsia="等线(中文正文)"/>
          <w:b w:val="false"/>
          <w:i w:val="false"/>
          <w:sz w:val="20"/>
        </w:rPr>
        <w:t/>
      </w:r>
    </w:p>
    <w:p>
      <w:pPr>
        <w:pStyle w:val="ab"/>
        <w:numPr>
          <w:numId w:val="9"/>
        </w:numPr>
      </w:pPr>
      <w:r>
        <w:t>20:15 投资趋势：从传统基建到科技创新与消费</w:t>
      </w:r>
    </w:p>
    <w:p>
      <w:r>
        <w:rPr>
          <w:rFonts w:ascii="等线(中文正文)" w:hAnsi="等线(中文正文)" w:cs="等线(中文正文)" w:eastAsia="等线(中文正文)"/>
          <w:b w:val="false"/>
          <w:i w:val="false"/>
          <w:sz w:val="20"/>
        </w:rPr>
        <w:t>对话讨论了中国投资领域的演变，从2015年的传统基建如棚改、水利、轨交等转向2020年的科技创新和经济大省倾斜，再到2025年重点聚焦科技创新与消费。这一变化反映了经济拉动方式从投资驱动向新生产力的转型，政策工具也随之调整，同时鼓励民间资本参与，体现了经济发展的新趋势。</w:t>
      </w:r>
    </w:p>
    <w:p>
      <w:r>
        <w:rPr>
          <w:rFonts w:ascii="等线(中文正文)" w:hAnsi="等线(中文正文)" w:cs="等线(中文正文)" w:eastAsia="等线(中文正文)"/>
          <w:b w:val="false"/>
          <w:i w:val="false"/>
          <w:sz w:val="20"/>
        </w:rPr>
        <w:t/>
      </w:r>
    </w:p>
    <w:p>
      <w:pPr>
        <w:pStyle w:val="ab"/>
        <w:numPr>
          <w:numId w:val="10"/>
        </w:numPr>
      </w:pPr>
      <w:r>
        <w:t>21:16 2025年金融工具投放对民间投资的影响分析</w:t>
      </w:r>
    </w:p>
    <w:p>
      <w:r>
        <w:rPr>
          <w:rFonts w:ascii="等线(中文正文)" w:hAnsi="等线(中文正文)" w:cs="等线(中文正文)" w:eastAsia="等线(中文正文)"/>
          <w:b w:val="false"/>
          <w:i w:val="false"/>
          <w:sz w:val="20"/>
        </w:rPr>
        <w:t>2025年金融工具投放对民间投资的撬动效果显著，尤其在中小科技企业贷款率和企业债券融资占比上有所提升，体现了新型政策性金融工具对民企、科技创新领域支持的导向。经济大省因重大项目储备多、资本金需求大，获得了更多额度，彰显了支持经济大省发展的投放策略。</w:t>
      </w:r>
    </w:p>
    <w:p>
      <w:r>
        <w:rPr>
          <w:rFonts w:ascii="等线(中文正文)" w:hAnsi="等线(中文正文)" w:cs="等线(中文正文)" w:eastAsia="等线(中文正文)"/>
          <w:b w:val="false"/>
          <w:i w:val="false"/>
          <w:sz w:val="20"/>
        </w:rPr>
        <w:t/>
      </w:r>
    </w:p>
    <w:p>
      <w:pPr>
        <w:pStyle w:val="ab"/>
        <w:numPr>
          <w:numId w:val="11"/>
        </w:numPr>
      </w:pPr>
      <w:r>
        <w:t>23:30 金融工具撬动倍数测算与经济影响分析</w:t>
      </w:r>
    </w:p>
    <w:p>
      <w:r>
        <w:rPr>
          <w:rFonts w:ascii="等线(中文正文)" w:hAnsi="等线(中文正文)" w:cs="等线(中文正文)" w:eastAsia="等线(中文正文)"/>
          <w:b w:val="false"/>
          <w:i w:val="false"/>
          <w:sz w:val="20"/>
        </w:rPr>
        <w:t>讨论了金融工具如何通过补充资本金，撬动社会资本和银行贷款，进而影响总投资。分析了不同年份的理论与实际撬动倍数，指出实际倍数受资本金比例、项目结构变化等因素影响，且往往高于理论值。</w:t>
      </w:r>
    </w:p>
    <w:p>
      <w:r>
        <w:rPr>
          <w:rFonts w:ascii="等线(中文正文)" w:hAnsi="等线(中文正文)" w:cs="等线(中文正文)" w:eastAsia="等线(中文正文)"/>
          <w:b w:val="false"/>
          <w:i w:val="false"/>
          <w:sz w:val="20"/>
        </w:rPr>
        <w:t/>
      </w:r>
    </w:p>
    <w:p>
      <w:pPr>
        <w:pStyle w:val="ab"/>
        <w:numPr>
          <w:numId w:val="12"/>
        </w:numPr>
      </w:pPr>
      <w:r>
        <w:t>27:22 中信银行各省分行撬动倍数分析及影响因素</w:t>
      </w:r>
    </w:p>
    <w:p>
      <w:r>
        <w:rPr>
          <w:rFonts w:ascii="等线(中文正文)" w:hAnsi="等线(中文正文)" w:cs="等线(中文正文)" w:eastAsia="等线(中文正文)"/>
          <w:b w:val="false"/>
          <w:i w:val="false"/>
          <w:sz w:val="20"/>
        </w:rPr>
        <w:t>通过手动搜集中信银行各省分行的数据，分析了2022年与2025年撬动倍数的变化，指出波动范围扩大。差异主要源于各省产业结构和财力差异，进而影响资本金比例和缺口大小。尽管存在波动，大多数省份仍集中于十倍附近，强调不应过分关注极值。基于各省国资委和项目主体披露信息，对2025年样本项目的销售倍数进行了测算，同样发现集中于十倍附近。总体来看，撬动倍数虽高，但需结合具体口径分析投资效率。</w:t>
      </w:r>
    </w:p>
    <w:p>
      <w:r>
        <w:rPr>
          <w:rFonts w:ascii="等线(中文正文)" w:hAnsi="等线(中文正文)" w:cs="等线(中文正文)" w:eastAsia="等线(中文正文)"/>
          <w:b w:val="false"/>
          <w:i w:val="false"/>
          <w:sz w:val="20"/>
        </w:rPr>
        <w:t/>
      </w:r>
    </w:p>
    <w:p>
      <w:pPr>
        <w:pStyle w:val="ab"/>
        <w:numPr>
          <w:numId w:val="13"/>
        </w:numPr>
      </w:pPr>
      <w:r>
        <w:t>28:57 分析金融工具高估风险及案例研究</w:t>
      </w:r>
    </w:p>
    <w:p>
      <w:r>
        <w:rPr>
          <w:rFonts w:ascii="等线(中文正文)" w:hAnsi="等线(中文正文)" w:cs="等线(中文正文)" w:eastAsia="等线(中文正文)"/>
          <w:b w:val="false"/>
          <w:i w:val="false"/>
          <w:sz w:val="20"/>
        </w:rPr>
        <w:t>讨论了金融工具高估的三大原因，包括单笔投放计算口径不匹配、项目已有的建设进度以及总投资与实际需求的差异，并通过具体案例验证了这些高估现象的存在，强调了在评估倍数时需关注口径一致性。</w:t>
      </w:r>
    </w:p>
    <w:p>
      <w:r>
        <w:rPr>
          <w:rFonts w:ascii="等线(中文正文)" w:hAnsi="等线(中文正文)" w:cs="等线(中文正文)" w:eastAsia="等线(中文正文)"/>
          <w:b w:val="false"/>
          <w:i w:val="false"/>
          <w:sz w:val="20"/>
        </w:rPr>
        <w:t/>
      </w:r>
    </w:p>
    <w:p>
      <w:pPr>
        <w:pStyle w:val="a7"/>
      </w:pPr>
      <w:r>
        <w:t>发言总结</w:t>
      </w:r>
    </w:p>
    <w:p>
      <w:pPr>
        <w:pStyle w:val="ab"/>
        <w:numPr>
          <w:numId w:val="14"/>
        </w:numPr>
      </w:pPr>
      <w:r>
        <w:t>发言人1</w:t>
      </w:r>
    </w:p>
    <w:p>
      <w:r>
        <w:rPr>
          <w:rFonts w:ascii="等线(中文正文)" w:hAnsi="等线(中文正文)" w:cs="等线(中文正文)" w:eastAsia="等线(中文正文)"/>
          <w:b w:val="false"/>
          <w:i w:val="false"/>
          <w:sz w:val="20"/>
        </w:rPr>
        <w:t>首先感谢主持人并介绍了自己来自长江证券研究所固定收益团队，随后转入主题，讨论政策性金融工具。2025年4月，中央政治局新设新型政策性金融工具，旨在支持科技创新、扩大消费和稳定外贸，5000亿资金在半年内全部投放完毕。他全面分析了政策性金融工具的基本情况、历史投放模式、撬动倍数的测算问题，并强调新型金融工具对经济的积极作用。通过回顾过去三次大规模投放的背景、模式和效果，他阐述了新型工具如何有效填补重大项目资本金缺口，通过市场化的运作方式放大投资效果，实现资金高效利用。此外，他还提到了未来新型金融工具投放的预期和策略，强调了政策性金融工具在经济发展中的重要性和成熟度。整个发言对政策性金融工具的背景、运作机制、效果及未来趋势进行了全面而深入的解析。</w:t>
      </w:r>
    </w:p>
    <w:p>
      <w:r>
        <w:rPr>
          <w:rFonts w:ascii="等线(中文正文)" w:hAnsi="等线(中文正文)" w:cs="等线(中文正文)" w:eastAsia="等线(中文正文)"/>
          <w:b w:val="false"/>
          <w:i w:val="false"/>
          <w:sz w:val="20"/>
        </w:rPr>
        <w:t/>
      </w:r>
    </w:p>
    <w:p>
      <w:pPr>
        <w:pStyle w:val="a7"/>
      </w:pPr>
      <w:r>
        <w:t>问答回顾</w:t>
      </w:r>
    </w:p>
    <w:p>
      <w:pPr>
        <w:pStyle w:val="ab"/>
      </w:pPr>
      <w:r>
        <w:t>发言人1 问：政策性金融工具是什么，它的运作机制是怎样的？历史上三次大规模的政策性金融工具有何特点及效果？</w:t>
      </w:r>
    </w:p>
    <w:p>
      <w:r>
        <w:rPr>
          <w:rFonts w:ascii="等线(中文正文)" w:hAnsi="等线(中文正文)" w:cs="等线(中文正文)" w:eastAsia="等线(中文正文)"/>
          <w:b w:val="false"/>
          <w:i w:val="false"/>
          <w:sz w:val="20"/>
        </w:rPr>
        <w:t>发言人1 答：政策性金融工具是由国家开发银行、进出口银行和农业发展银行三家政策性银行，在央行支持下设立的一类金融工具。资金来源包括央行提供的低成本抵押补充贷款（PSL）和政策行发行的金融债券，中央财政给予贴息。通过设立基金公司作为投放主体，补充重大项目资本金，期限长、成本低、用途灵活，与重大基建项目的规模大、周期长、回收慢的特点相匹配。政策性金融工具用低成本资金填补政府项目资本金缺口，通过项目自身的融资杠杆撬动更多民间资本参与，提高投资效率。历史上有三次大规模的政策性金融工具启动，如专项建设基金（2015年）是在稳增长压力较大背景下设立的，通过资本金投资、股权投资、股东借款等方式投放资金，主要用于民生改善、基础设施建设等领域，有效带动了民间投资的增长。从投放到形成实物工作量大约有半年左右的实质性，对固定资产投资起到了积极作用。</w:t>
      </w:r>
    </w:p>
    <w:p>
      <w:r>
        <w:rPr>
          <w:rFonts w:ascii="等线(中文正文)" w:hAnsi="等线(中文正文)" w:cs="等线(中文正文)" w:eastAsia="等线(中文正文)"/>
          <w:b w:val="false"/>
          <w:i w:val="false"/>
          <w:sz w:val="20"/>
        </w:rPr>
        <w:t/>
      </w:r>
    </w:p>
    <w:p>
      <w:pPr>
        <w:pStyle w:val="ab"/>
      </w:pPr>
      <w:r>
        <w:t>发言人1 问：政策性金融工具与之前的证券金融工具有何不同？</w:t>
      </w:r>
    </w:p>
    <w:p>
      <w:r>
        <w:rPr>
          <w:rFonts w:ascii="等线(中文正文)" w:hAnsi="等线(中文正文)" w:cs="等线(中文正文)" w:eastAsia="等线(中文正文)"/>
          <w:b w:val="false"/>
          <w:i w:val="false"/>
          <w:sz w:val="20"/>
        </w:rPr>
        <w:t>发言人1 答：新型政策性金融工具与之前的证券金融工具不同之处在于其定位更明确地作为准财政工具，服务于科技创新、扩大消费、稳定外贸等政策目标，并且具有常态化规模化使用的特点。新型金融工具通过补充重大项目资本金，配合项目自身的融资，实现投资规模的放大。</w:t>
      </w:r>
    </w:p>
    <w:p>
      <w:r>
        <w:rPr>
          <w:rFonts w:ascii="等线(中文正文)" w:hAnsi="等线(中文正文)" w:cs="等线(中文正文)" w:eastAsia="等线(中文正文)"/>
          <w:b w:val="false"/>
          <w:i w:val="false"/>
          <w:sz w:val="20"/>
        </w:rPr>
        <w:t/>
      </w:r>
    </w:p>
    <w:p>
      <w:pPr>
        <w:pStyle w:val="ab"/>
      </w:pPr>
      <w:r>
        <w:t>发言人1 问：项目资本金制度是如何影响政策性金融工具的？</w:t>
      </w:r>
    </w:p>
    <w:p>
      <w:r>
        <w:rPr>
          <w:rFonts w:ascii="等线(中文正文)" w:hAnsi="等线(中文正文)" w:cs="等线(中文正文)" w:eastAsia="等线(中文正文)"/>
          <w:b w:val="false"/>
          <w:i w:val="false"/>
          <w:sz w:val="20"/>
        </w:rPr>
        <w:t>发言人1 答：项目资本金制度要求投资项目必须落实一定比例的非债务性资金作为启动条件。政策性金融工具正是补充了重大项目在资本金方面的需求，而资本金比例的调整也是政府调控投资的重要手段。较低的资本金比例可以增加政策性金融工具撬动总投资规模的能力，从而影响整体的投资效果。</w:t>
      </w:r>
    </w:p>
    <w:p>
      <w:r>
        <w:rPr>
          <w:rFonts w:ascii="等线(中文正文)" w:hAnsi="等线(中文正文)" w:cs="等线(中文正文)" w:eastAsia="等线(中文正文)"/>
          <w:b w:val="false"/>
          <w:i w:val="false"/>
          <w:sz w:val="20"/>
        </w:rPr>
        <w:t/>
      </w:r>
    </w:p>
    <w:p>
      <w:pPr>
        <w:pStyle w:val="ab"/>
      </w:pPr>
      <w:r>
        <w:t>发言人1 问：政策性开发性金融工具的启动背景是什么？政策性开发性金融工具的核心作用和资金来源是怎样的？</w:t>
      </w:r>
    </w:p>
    <w:p>
      <w:r>
        <w:rPr>
          <w:rFonts w:ascii="等线(中文正文)" w:hAnsi="等线(中文正文)" w:cs="等线(中文正文)" w:eastAsia="等线(中文正文)"/>
          <w:b w:val="false"/>
          <w:i w:val="false"/>
          <w:sz w:val="20"/>
        </w:rPr>
        <w:t>发言人1 答：2022年，由于公共卫生事件和外部冲击的影响，稳投资的压力增大。尽管国商会调增了8000亿信贷额度，但项目资本金不到位成为制约项目建设和贷款投放的主要瓶颈。因此，在6月26日，国务院常务会议确定启动政策性开发性金融工具，用于补充重大项目资本金，最高不超过全部资本金的50%，同时为专项项目的资金提供搭桥支持。核心作用是解决项目资本金缺口问题，保障项目能够顺利进行。资金来源上，财政对政策性银行发行的金融债进行贴息两年，并由央行通过流动性支持（L）对相关债务进行支持。</w:t>
      </w:r>
    </w:p>
    <w:p>
      <w:r>
        <w:rPr>
          <w:rFonts w:ascii="等线(中文正文)" w:hAnsi="等线(中文正文)" w:cs="等线(中文正文)" w:eastAsia="等线(中文正文)"/>
          <w:b w:val="false"/>
          <w:i w:val="false"/>
          <w:sz w:val="20"/>
        </w:rPr>
        <w:t/>
      </w:r>
    </w:p>
    <w:p>
      <w:pPr>
        <w:pStyle w:val="ab"/>
      </w:pPr>
      <w:r>
        <w:t>发言人1 问：新型创新金融工具的特点和投向有何不同？政策性开发性金融工具的投放模式有哪些？</w:t>
      </w:r>
    </w:p>
    <w:p>
      <w:r>
        <w:rPr>
          <w:rFonts w:ascii="等线(中文正文)" w:hAnsi="等线(中文正文)" w:cs="等线(中文正文)" w:eastAsia="等线(中文正文)"/>
          <w:b w:val="false"/>
          <w:i w:val="false"/>
          <w:sz w:val="20"/>
        </w:rPr>
        <w:t>发言人1 答：新型创新金融工具更聚焦于新生产力领域，如数字经济、人工智能、绿色低碳等，并强调加大对民间投资的支持。与前两轮以传统基建为主不同，这一轮新型金融工具在设计上更加注重市场化运作，不新增地方政府债务，政策性银行自主决策，根据项目质量决定是否投资，并且减轻了地方政府出具还款承诺和兜底责任的压力。投放模式主要包括股权投资、股东借款和为专项债项目资本金搭桥三种方式。其中，股权投资是基金公司直接入股项目公司；股东借款是由基金公司委托政策性银行向项目股东提供借款，以满足项目资本金要求；而专项债资本金搭桥则是通过项目股东向实施主体增资的方式实现。</w:t>
      </w:r>
    </w:p>
    <w:p>
      <w:r>
        <w:rPr>
          <w:rFonts w:ascii="等线(中文正文)" w:hAnsi="等线(中文正文)" w:cs="等线(中文正文)" w:eastAsia="等线(中文正文)"/>
          <w:b w:val="false"/>
          <w:i w:val="false"/>
          <w:sz w:val="20"/>
        </w:rPr>
        <w:t/>
      </w:r>
    </w:p>
    <w:p>
      <w:pPr>
        <w:pStyle w:val="ab"/>
      </w:pPr>
      <w:r>
        <w:t>发言人1 问：该金融工具主要投向哪些项目领域？</w:t>
      </w:r>
    </w:p>
    <w:p>
      <w:r>
        <w:rPr>
          <w:rFonts w:ascii="等线(中文正文)" w:hAnsi="等线(中文正文)" w:cs="等线(中文正文)" w:eastAsia="等线(中文正文)"/>
          <w:b w:val="false"/>
          <w:i w:val="false"/>
          <w:sz w:val="20"/>
        </w:rPr>
        <w:t>发言人1 答：本轮金融工具重点投向三类项目：一是中央财经委明确的五大基础设施建设项目，包括交通、水利、能源、信息、科技、物流、城市地下管廊、高标准农田和国家安全基础设施；二是重大科技创新相关领域；三是专项债可投资的项目。</w:t>
      </w:r>
    </w:p>
    <w:p>
      <w:r>
        <w:rPr>
          <w:rFonts w:ascii="等线(中文正文)" w:hAnsi="等线(中文正文)" w:cs="等线(中文正文)" w:eastAsia="等线(中文正文)"/>
          <w:b w:val="false"/>
          <w:i w:val="false"/>
          <w:sz w:val="20"/>
        </w:rPr>
        <w:t/>
      </w:r>
    </w:p>
    <w:p>
      <w:pPr>
        <w:pStyle w:val="ab"/>
      </w:pPr>
      <w:r>
        <w:t>发言人1 问：对于2026年的新型政策性金融工具规模和方向有何预期？</w:t>
      </w:r>
    </w:p>
    <w:p>
      <w:r>
        <w:rPr>
          <w:rFonts w:ascii="等线(中文正文)" w:hAnsi="等线(中文正文)" w:cs="等线(中文正文)" w:eastAsia="等线(中文正文)"/>
          <w:b w:val="false"/>
          <w:i w:val="false"/>
          <w:sz w:val="20"/>
        </w:rPr>
        <w:t>发言人1 答：2026年政府工作报告指出，将安排8000亿新型政策性金融工具，重点继续支持数字经济、人工智能、消费等新生产力领域。国家发改委也强调要抓住三季度施工旺季，加快资金投放使用。预计本轮额度将在三季度集中投放。</w:t>
      </w:r>
    </w:p>
    <w:p>
      <w:r>
        <w:rPr>
          <w:rFonts w:ascii="等线(中文正文)" w:hAnsi="等线(中文正文)" w:cs="等线(中文正文)" w:eastAsia="等线(中文正文)"/>
          <w:b w:val="false"/>
          <w:i w:val="false"/>
          <w:sz w:val="20"/>
        </w:rPr>
        <w:t/>
      </w:r>
    </w:p>
    <w:p>
      <w:pPr>
        <w:pStyle w:val="ab"/>
      </w:pPr>
      <w:r>
        <w:t>发言人1 问：政策性金融工具如何在专项债资本金到位前进行资金垫付，避免基建资金断档？</w:t>
      </w:r>
    </w:p>
    <w:p>
      <w:r>
        <w:rPr>
          <w:rFonts w:ascii="等线(中文正文)" w:hAnsi="等线(中文正文)" w:cs="等线(中文正文)" w:eastAsia="等线(中文正文)"/>
          <w:b w:val="false"/>
          <w:i w:val="false"/>
          <w:sz w:val="20"/>
        </w:rPr>
        <w:t>发言人1 答：政策性金融工具在专项债资金还未到位时，可以先行垫付，等专项债资金到位后进行置换，以确保基建资金不断档。这类资金本质上属于债务性资金，由项目股东名义借贷并承担偿还责任。</w:t>
      </w:r>
    </w:p>
    <w:p>
      <w:r>
        <w:rPr>
          <w:rFonts w:ascii="等线(中文正文)" w:hAnsi="等线(中文正文)" w:cs="等线(中文正文)" w:eastAsia="等线(中文正文)"/>
          <w:b w:val="false"/>
          <w:i w:val="false"/>
          <w:sz w:val="20"/>
        </w:rPr>
        <w:t/>
      </w:r>
    </w:p>
    <w:p>
      <w:pPr>
        <w:pStyle w:val="ab"/>
      </w:pPr>
      <w:r>
        <w:t>发言人1 问：政策性金融工具的投放节奏如何？政策性金融工具在投放领域的变化是什么？</w:t>
      </w:r>
    </w:p>
    <w:p>
      <w:r>
        <w:rPr>
          <w:rFonts w:ascii="等线(中文正文)" w:hAnsi="等线(中文正文)" w:cs="等线(中文正文)" w:eastAsia="等线(中文正文)"/>
          <w:b w:val="false"/>
          <w:i w:val="false"/>
          <w:sz w:val="20"/>
        </w:rPr>
        <w:t>发言人1 答：政策性金融工具的投放节奏非常快，从基金公司设立到完成第一批投放，基本都在一个月以内，显示出执行效率很高，且从项目储备到投放的通道已经非常成熟。投放领域从传统的基建转向科技创新和消费。2015年主要投向棚改、水利、轨交等传统基建以及制造业转型升级项目；2020年转向五大基础设施和经济大省；2025年则重心放在科创和消费领域，同时也注重民间资本参与。</w:t>
      </w:r>
    </w:p>
    <w:p>
      <w:r>
        <w:rPr>
          <w:rFonts w:ascii="等线(中文正文)" w:hAnsi="等线(中文正文)" w:cs="等线(中文正文)" w:eastAsia="等线(中文正文)"/>
          <w:b w:val="false"/>
          <w:i w:val="false"/>
          <w:sz w:val="20"/>
        </w:rPr>
        <w:t/>
      </w:r>
    </w:p>
    <w:p>
      <w:pPr>
        <w:pStyle w:val="ab"/>
      </w:pPr>
      <w:r>
        <w:t>发言人1 问：政策性金融工具对整体贷款需求和民间投资有何影响？</w:t>
      </w:r>
    </w:p>
    <w:p>
      <w:r>
        <w:rPr>
          <w:rFonts w:ascii="等线(中文正文)" w:hAnsi="等线(中文正文)" w:cs="等线(中文正文)" w:eastAsia="等线(中文正文)"/>
          <w:b w:val="false"/>
          <w:i w:val="false"/>
          <w:sz w:val="20"/>
        </w:rPr>
        <w:t>发言人1 答：三轮振兴金融工具投放均带动了总体贷款需求回升，其中2025年对民间投资撬动效果更加明显，尤其是在中小企业贷款、科技企业获贷率以及企业债券融资占比等方面有所提升。</w:t>
      </w:r>
    </w:p>
    <w:p>
      <w:r>
        <w:rPr>
          <w:rFonts w:ascii="等线(中文正文)" w:hAnsi="等线(中文正文)" w:cs="等线(中文正文)" w:eastAsia="等线(中文正文)"/>
          <w:b w:val="false"/>
          <w:i w:val="false"/>
          <w:sz w:val="20"/>
        </w:rPr>
        <w:t/>
      </w:r>
    </w:p>
    <w:p>
      <w:pPr>
        <w:pStyle w:val="ab"/>
      </w:pPr>
      <w:r>
        <w:t>发言人1 问：为何经济大省获得的政策性金融工具额度更高？</w:t>
      </w:r>
    </w:p>
    <w:p>
      <w:r>
        <w:rPr>
          <w:rFonts w:ascii="等线(中文正文)" w:hAnsi="等线(中文正文)" w:cs="等线(中文正文)" w:eastAsia="等线(中文正文)"/>
          <w:b w:val="false"/>
          <w:i w:val="false"/>
          <w:sz w:val="20"/>
        </w:rPr>
        <w:t>发言人1 答：经济大省获得的额度明显较高，推测是因为这些地区重大项目较多，资本金需求大，体现了支持经济大省挑大梁的投放导向。</w:t>
      </w:r>
    </w:p>
    <w:p>
      <w:r>
        <w:rPr>
          <w:rFonts w:ascii="等线(中文正文)" w:hAnsi="等线(中文正文)" w:cs="等线(中文正文)" w:eastAsia="等线(中文正文)"/>
          <w:b w:val="false"/>
          <w:i w:val="false"/>
          <w:sz w:val="20"/>
        </w:rPr>
        <w:t/>
      </w:r>
    </w:p>
    <w:p>
      <w:pPr>
        <w:pStyle w:val="ab"/>
      </w:pPr>
      <w:r>
        <w:t>发言人1 问：专业性金融工具如何测算其对经济的操作倍数？</w:t>
      </w:r>
    </w:p>
    <w:p>
      <w:r>
        <w:rPr>
          <w:rFonts w:ascii="等线(中文正文)" w:hAnsi="等线(中文正文)" w:cs="等线(中文正文)" w:eastAsia="等线(中文正文)"/>
          <w:b w:val="false"/>
          <w:i w:val="false"/>
          <w:sz w:val="20"/>
        </w:rPr>
        <w:t>发言人1 答：金融工具通过补充资本金让项目具备融资条件，进而撬动社会资本和银行贷款跟进。操作倍数通常有三种口径，分别是总投资撬动倍数、信贷撬动倍数及项目层面倍数。实际撬动倍数往往低于理论值，因为大多数基建项目的实际资本金比例高于法定下限。</w:t>
      </w:r>
    </w:p>
    <w:p>
      <w:r>
        <w:rPr>
          <w:rFonts w:ascii="等线(中文正文)" w:hAnsi="等线(中文正文)" w:cs="等线(中文正文)" w:eastAsia="等线(中文正文)"/>
          <w:b w:val="false"/>
          <w:i w:val="false"/>
          <w:sz w:val="20"/>
        </w:rPr>
        <w:t/>
      </w:r>
    </w:p>
    <w:p>
      <w:pPr>
        <w:pStyle w:val="ab"/>
      </w:pPr>
      <w:r>
        <w:t>发言人1 问：能否举例说明实际撬动倍数与理论撬动倍数的关系？</w:t>
      </w:r>
    </w:p>
    <w:p>
      <w:r>
        <w:rPr>
          <w:rFonts w:ascii="等线(中文正文)" w:hAnsi="等线(中文正文)" w:cs="等线(中文正文)" w:eastAsia="等线(中文正文)"/>
          <w:b w:val="false"/>
          <w:i w:val="false"/>
          <w:sz w:val="20"/>
        </w:rPr>
        <w:t>发言人1 答：以2015年为例，按照平均25%的资本金比例计算，8000亿专项建设基金理论上撬动了约3.2万亿的总投资，而国开行实际披露的投放5800亿拉动2万亿投资，倍数约为3.4倍，接近理论值。而在2020年的案例中，虽然工具占比不超过总资本金的50%，但农发基金的实际撬动倍数达到了12.2倍，进驻银行更是达到了14.6倍，这表明实际撬动倍数通常会高于理论值，可能由于披露的总投资口径更宽造成高估。</w:t>
      </w:r>
    </w:p>
    <w:p>
      <w:r>
        <w:rPr>
          <w:rFonts w:ascii="等线(中文正文)" w:hAnsi="等线(中文正文)" w:cs="等线(中文正文)" w:eastAsia="等线(中文正文)"/>
          <w:b w:val="false"/>
          <w:i w:val="false"/>
          <w:sz w:val="20"/>
        </w:rPr>
        <w:t/>
      </w:r>
    </w:p>
    <w:p>
      <w:pPr>
        <w:pStyle w:val="ab"/>
      </w:pPr>
      <w:r>
        <w:t>发言人1 问：2025年的创新金融工具预计拉动的总投资大概是多少，倍数是多少？国开行、农发行和进出口银行的创新金融工具投放倍数分别是多少？</w:t>
      </w:r>
    </w:p>
    <w:p>
      <w:r>
        <w:rPr>
          <w:rFonts w:ascii="等线(中文正文)" w:hAnsi="等线(中文正文)" w:cs="等线(中文正文)" w:eastAsia="等线(中文正文)"/>
          <w:b w:val="false"/>
          <w:i w:val="false"/>
          <w:sz w:val="20"/>
        </w:rPr>
        <w:t>发言人1 答：2025年的创新金融工具预计拉动的总投资大约是7万亿左右，倍数约为14倍。国开行的倍数是15.4倍，农发行的倍数是12.9倍，进出口银行的倍数是13倍。</w:t>
      </w:r>
    </w:p>
    <w:p>
      <w:r>
        <w:rPr>
          <w:rFonts w:ascii="等线(中文正文)" w:hAnsi="等线(中文正文)" w:cs="等线(中文正文)" w:eastAsia="等线(中文正文)"/>
          <w:b w:val="false"/>
          <w:i w:val="false"/>
          <w:sz w:val="20"/>
        </w:rPr>
        <w:t/>
      </w:r>
    </w:p>
    <w:p>
      <w:pPr>
        <w:pStyle w:val="ab"/>
      </w:pPr>
      <w:r>
        <w:t>发言人1 问：创新金融工具的倍数为何会呈现一轮比一轮高的趋势？对于创新金融工具的口径问题有何建议？</w:t>
      </w:r>
    </w:p>
    <w:p>
      <w:r>
        <w:rPr>
          <w:rFonts w:ascii="等线(中文正文)" w:hAnsi="等线(中文正文)" w:cs="等线(中文正文)" w:eastAsia="等线(中文正文)"/>
          <w:b w:val="false"/>
          <w:i w:val="false"/>
          <w:sz w:val="20"/>
        </w:rPr>
        <w:t>发言人1 答：这主要是由于资本金比例调整以及投放领域和项目结构的变化，比如越来越多地投向轻资产化的科创等项目，导致资本金占比降低，账面倍数可能更高。在做相关倍数测算时，总体上需要对口径进行关注，避免因口径不一致造成高估等问题。可以通过案例分析进一步印证这一点。</w:t>
      </w:r>
    </w:p>
    <w:p>
      <w:r>
        <w:rPr>
          <w:rFonts w:ascii="等线(中文正文)" w:hAnsi="等线(中文正文)" w:cs="等线(中文正文)" w:eastAsia="等线(中文正文)"/>
          <w:b w:val="false"/>
          <w:i w:val="false"/>
          <w:sz w:val="20"/>
        </w:rPr>
        <w:t/>
      </w:r>
    </w:p>
    <w:p>
      <w:pPr>
        <w:pStyle w:val="ab"/>
      </w:pPr>
      <w:r>
        <w:t>发言人1 问：各省分行披露的撬动倍数有何差异？</w:t>
      </w:r>
    </w:p>
    <w:p>
      <w:r>
        <w:rPr>
          <w:rFonts w:ascii="等线(中文正文)" w:hAnsi="等线(中文正文)" w:cs="等线(中文正文)" w:eastAsia="等线(中文正文)"/>
          <w:b w:val="false"/>
          <w:i w:val="false"/>
          <w:sz w:val="20"/>
        </w:rPr>
        <w:t>发言人1 答：各省撬动倍数在2022年范围扩大至6到27倍，大部分集中在十倍附近。差异来源主要是各省产业结构不同，储备项目要求的资本金比例各异，以及财力不同，资本金缺口大小不一。</w:t>
      </w:r>
    </w:p>
    <w:p>
      <w:r>
        <w:rPr>
          <w:rFonts w:ascii="等线(中文正文)" w:hAnsi="等线(中文正文)" w:cs="等线(中文正文)" w:eastAsia="等线(中文正文)"/>
          <w:b w:val="false"/>
          <w:i w:val="false"/>
          <w:sz w:val="20"/>
        </w:rPr>
        <w:t/>
      </w:r>
    </w:p>
    <w:p>
      <w:pPr>
        <w:pStyle w:val="ab"/>
      </w:pPr>
      <w:r>
        <w:t>发言人1 问：项目层面的销售倍数情况如何？</w:t>
      </w:r>
    </w:p>
    <w:p>
      <w:r>
        <w:rPr>
          <w:rFonts w:ascii="等线(中文正文)" w:hAnsi="等线(中文正文)" w:cs="等线(中文正文)" w:eastAsia="等线(中文正文)"/>
          <w:b w:val="false"/>
          <w:i w:val="false"/>
          <w:sz w:val="20"/>
        </w:rPr>
        <w:t>发言人1 答：项目层面基于各省国资委和项目主体披露的信息，2025年样本项目的销售倍数大致在7到22倍之间，多数集中在十倍附近。</w:t>
      </w:r>
    </w:p>
    <w:p>
      <w:r>
        <w:rPr>
          <w:rFonts w:ascii="等线(中文正文)" w:hAnsi="等线(中文正文)" w:cs="等线(中文正文)" w:eastAsia="等线(中文正文)"/>
          <w:b w:val="false"/>
          <w:i w:val="false"/>
          <w:sz w:val="20"/>
        </w:rPr>
        <w:t/>
      </w:r>
    </w:p>
    <w:p>
      <w:pPr>
        <w:pStyle w:val="ab"/>
      </w:pPr>
      <w:r>
        <w:t>发言人1 问：可能导致高估的原因有哪些？</w:t>
      </w:r>
    </w:p>
    <w:p>
      <w:r>
        <w:rPr>
          <w:rFonts w:ascii="等线(中文正文)" w:hAnsi="等线(中文正文)" w:cs="等线(中文正文)" w:eastAsia="等线(中文正文)"/>
          <w:b w:val="false"/>
          <w:i w:val="false"/>
          <w:sz w:val="20"/>
        </w:rPr>
        <w:t>发言人1 答：高估的原因主要有三个：一是同一项目的不同股东可能都申请了创新金融工具，按单笔投放算倍数会更高；二是披露的总投资往往是全生命周期总投资，而工具补充的是某一期资本金，口径不匹配；三是项目申请时可能已有部分建设进度，原因为首的资金未到位，用总投估算自然偏高。</w:t>
      </w:r>
    </w:p>
    <w:p>
      <w:r>
        <w:rPr>
          <w:rFonts w:ascii="等线(中文正文)" w:hAnsi="等线(中文正文)" w:cs="等线(中文正文)" w:eastAsia="等线(中文正文)"/>
          <w:b w:val="false"/>
          <w:i w:val="false"/>
          <w:sz w:val="20"/>
        </w:rPr>
        <w:t/>
      </w:r>
    </w:p>
    <w:p>
      <w:pPr>
        <w:pStyle w:val="ab"/>
      </w:pPr>
      <w:r>
        <w:t>发言人1 问：如何理解“单笔资金对全周期总投资”的问题？</w:t>
      </w:r>
    </w:p>
    <w:p>
      <w:r>
        <w:rPr>
          <w:rFonts w:ascii="等线(中文正文)" w:hAnsi="等线(中文正文)" w:cs="等线(中文正文)" w:eastAsia="等线(中文正文)"/>
          <w:b w:val="false"/>
          <w:i w:val="false"/>
          <w:sz w:val="20"/>
        </w:rPr>
        <w:t>发言人1 答：这个问题实质上还是口径问题，即用单笔政信金融工具资金应对全周期总投资，从倍数上看可能相对较好。但要注意按不同口径计算的倍数可能存在较大差异。</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2026-08-24T14:21:21Z</dcterms:created>
  <dc:creator>Apache POI</dc:creator>
</cp:coreProperties>
</file>