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长江固收 - 这一年，我们的研究系列6：政策性金融工具研究框架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好的，非常感谢主持人。各位领导大家晚上好，我是长江证券研究所固定收益团队的分析师熊峰。我们今天分享的主题是政策性金融工具的研究框架。这个也是我们财政的底色系列报告之一。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00:14</w:t>
      </w:r>
    </w:p>
    <w:p>
      <w:r>
        <w:rPr>
          <w:rFonts w:ascii="等线(中文正文)" w:hAnsi="等线(中文正文)" w:cs="等线(中文正文)" w:eastAsia="等线(中文正文)"/>
          <w:b w:val="false"/>
          <w:i w:val="false"/>
          <w:sz w:val="20"/>
        </w:rPr>
        <w:t>2025年4月份，中央政治局会议新设了新型的政策性金融工具。5000亿在半年内全部投放完毕。市场也在关注，这个工具到底是怎么来运作的，到底能撬动多少投资？我们今天主要来讲讲政策性金融工具的一些基本情况，历史的复盘投放模式和撬动倍数。最后我们也重点去聊一聊关于这个撬动倍数的相关的测算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00:42</w:t>
      </w:r>
    </w:p>
    <w:p>
      <w:r>
        <w:rPr>
          <w:rFonts w:ascii="等线(中文正文)" w:hAnsi="等线(中文正文)" w:cs="等线(中文正文)" w:eastAsia="等线(中文正文)"/>
          <w:b w:val="false"/>
          <w:i w:val="false"/>
          <w:sz w:val="20"/>
        </w:rPr>
        <w:t>本期报告是我们长安证券固定收益团队完成的。主要聚焦的是证券性金融工具的这一准准财政的工具。后续有这个路演的相关的需求的话，也欢迎大家来随是联系我们。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w:t>
      </w:r>
    </w:p>
    <w:p>
      <w:r>
        <w:rPr>
          <w:rFonts w:ascii="等线(中文正文)" w:hAnsi="等线(中文正文)" w:cs="等线(中文正文)" w:eastAsia="等线(中文正文)"/>
          <w:b w:val="false"/>
          <w:i w:val="false"/>
          <w:sz w:val="20"/>
        </w:rPr>
        <w:t>这篇框架其实我们主要回答了四个问题。第一个就是这个政信金融工具是什么。第二个我们做了一个历史上三次大规模的这种政信金融工具的相关复盘。第三个是投放模式和趋势。第四个是关于大家比较关心的比如说撬动倍数到底怎么来测算，我们测算的相关结果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w:t>
      </w:r>
    </w:p>
    <w:p>
      <w:r>
        <w:rPr>
          <w:rFonts w:ascii="等线(中文正文)" w:hAnsi="等线(中文正文)" w:cs="等线(中文正文)" w:eastAsia="等线(中文正文)"/>
          <w:b w:val="false"/>
          <w:i w:val="false"/>
          <w:sz w:val="20"/>
        </w:rPr>
        <w:t>首先我们进入到今天的第一部分，我们也先把这个政策脉络我们先进行一个相关的一个梳理。然后25年4月份的中央政局会议提出了设立新型的政金融工具，支持科技创新，扩大消费，稳定外贸。然后到这个十月末，其实第一批的5000亿就完成了投放，速度非常快。到12月中央经济工作会议要提出了继续发挥新型政信金融工具的作用。那么今年2月6号，国务院常务会议进一步要求，要加力提效用好新型的创新金融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我们看到3月份的政府工作报告，其实也做了明确了新今年的这个呃呃就26年的新型的赚钱用功率是80亿的规模，相比去年5000亿其实有了一个明显的一个增加。那么政策表述其实我们可以看到，从设立到继续发挥，再到加力提效。其实从政策的措辞上面也有一个层层的一个加码。说明这个工具其实从前期的一个探索的一个阶段，其实进入到了一个比如常态化规模化的一个使用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02:45</w:t>
      </w:r>
    </w:p>
    <w:p>
      <w:r>
        <w:rPr>
          <w:rFonts w:ascii="等线(中文正文)" w:hAnsi="等线(中文正文)" w:cs="等线(中文正文)" w:eastAsia="等线(中文正文)"/>
          <w:b w:val="false"/>
          <w:i w:val="false"/>
          <w:sz w:val="20"/>
        </w:rPr>
        <w:t>我们就来做一个梳理。证券金融工具到底是什么？这个新型的到底和之前的这个证券金融工具有什么不同？怎么来拉动有效的投资，我们具体来看一下。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w:t>
      </w:r>
    </w:p>
    <w:p>
      <w:r>
        <w:rPr>
          <w:rFonts w:ascii="等线(中文正文)" w:hAnsi="等线(中文正文)" w:cs="等线(中文正文)" w:eastAsia="等线(中文正文)"/>
          <w:b w:val="false"/>
          <w:i w:val="false"/>
          <w:sz w:val="20"/>
        </w:rPr>
        <w:t>首先就政策性金融工具的定义来看，是由国家开发银行进出口银行和农农业发展银行这三家政策性银行在央行支持下设立的一类金融工具。资金的来源是一是央行提供的低成本的抵押补充贷款，也就是psl。二是政策行发行的金融债券。那中央政中央财政在给予一些贴息。那目资金募集之后，政策行通过设立基金公司作为投放的主体，去补充这个重大项目的资本金。它的定位其实是啊准财政的这么一个定位，它填补了银行贷款不愿进，但是却实际上有急需支持的一些重点领域和薄弱环节。资金的期限长、成本低、用途灵活，其实正好匹配了一些这种重大的基建项目，相当于它的规模比较大、周期长、回收慢的一些特点。同时它又保留了市场化运作做的一个优势，能够撬动更多的民间资本去进行参与，也提高了这个投资的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04:06</w:t>
      </w:r>
    </w:p>
    <w:p>
      <w:r>
        <w:rPr>
          <w:rFonts w:ascii="等线(中文正文)" w:hAnsi="等线(中文正文)" w:cs="等线(中文正文)" w:eastAsia="等线(中文正文)"/>
          <w:b w:val="false"/>
          <w:i w:val="false"/>
          <w:sz w:val="20"/>
        </w:rPr>
        <w:t>简单的说，其实就是这个政策行用低成本的资金替政府把这个项目的资本金的缺口去补上。然后再通过项目自身的这个融资杠杆，把投资进行相关的一些放大。这里我们要理解中信金融工具的话，其实我们不得不提到这个项目资本金制度。我们要先把这个问题弄懂。从9 1996年开始，金星投资项目必须要落实资本金才能开工建设。资本金是非债务性的资金，而项目法人不承担利息和债务，但不得抽回。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资本金比例也不是一成不变的，历次调整其实都是调节投资的这么一个重要工具。我们可以看到24年针对钢铁、电解铝、房地产等过热行业进行上调。2009年应对国际金融危机，扩大内需有所下调。2015年为了解决重大民生和公共领域方面的融资难、融资贵的问题，再次进行了调价。2019年又对基础设施项目最低的资本金比例进行了适当的一个调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w:t>
      </w:r>
    </w:p>
    <w:p>
      <w:r>
        <w:rPr>
          <w:rFonts w:ascii="等线(中文正文)" w:hAnsi="等线(中文正文)" w:cs="等线(中文正文)" w:eastAsia="等线(中文正文)"/>
          <w:b w:val="false"/>
          <w:i w:val="false"/>
          <w:sz w:val="20"/>
        </w:rPr>
        <w:t>其实2019年的人特别明显，比如说公路、铁路、城建等等一些补短板的一些项目。在这个红在回报机制明确、收益可靠、风险可控的前提之下，这个风最低的资本金比例可再再下调不超过五个百分点。另外专项债也可以作为重大项目的资本金。那正式工正性金融工具补充的正是项目最缺的资本金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我们从这个图上可以看到，这个是目前分行业项目，就是项目最低资本金的一个比例的相关的要求。多数的行业基本大家看一看都在20%到30%之间。比如说公路、铁路、城市轨道交通大致是在20%。房地产开发相对会高一点。这个比例其实也决定了撬动倍数的一个理论的一个上限。资本金比例越低，那同样一笔工具的资金能撬动的这个总总投资的规模就越大。后面我们进行相关的测算的时候，也可以用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我们进入到第二部分，我们去复盘一下历史上三次中信金融工具的一个大规模的启动。第一次是这个专项建设基金，专项建设基金是2015年第一次2015年的这个专项建设基金，是是在这样一个背景之下，当时投资增速确实是持续的一个下行，稳增长压力比较大。八月底，在发改委的主导之下，国开行和农发行向邮储银行定向发行专项债，成立了国开国国开发展基金和农发重点建设基金。以资本金投资、股权投资、股东借款等等方式进行资金的一个投放，投放期是10年到20年，中央财政贴息90%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07:08</w:t>
      </w:r>
    </w:p>
    <w:p>
      <w:r>
        <w:rPr>
          <w:rFonts w:ascii="等线(中文正文)" w:hAnsi="等线(中文正文)" w:cs="等线(中文正文)" w:eastAsia="等线(中文正文)"/>
          <w:b w:val="false"/>
          <w:i w:val="false"/>
          <w:sz w:val="20"/>
        </w:rPr>
        <w:t>项目单位实际的年利率大概只有1.2%左右，远低于整个市场的平均的融资成本。头像需要主要是聚焦于于五类，那就比如说异地扶贫搬迁，这种三种类的建设，轨道交通城等这种城市基础设施的建设。中西部铁路等重大基础设施，然后民生改善，制造业升转型升级，原则上是支持那些看得准有回报，不新增过剩产能的相关的一些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从节奏上来看，2015年投放四批合计是8000亿。那么2016年再加了1万亿。2015到2017年，其实我们累计这个区间的话，累计大概是2万亿左右。从资金投放到形成这个实物工作量，大概有啊六个6到7个月的一个实质。同时我们也可以看到，其实2016年民间投资增速有所回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专项建设基金的某种程度上，其实也在对这个民间投资的一个缺口的一个补充。我们看下面这幅图，这幅图的话就是2015到2018年这个固定资产投资与实物工作量的一个对比。2015年8月这个专项建设基金投放以后2016年的图上，2016年的三月，基建投资与石油沥青开工率、水泥产量的同步大幅回升。但实物工作量开始形成，但也印证了我们刚刚说到的从资金投放到形成实物工作量，大概有半年左右的一个实质性。到2017年民间投资回升之后，这个专项建设基金的一个发行节奏，其实还是有所放缓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第二次是政策性开发性金融工具，这个是22年的那这个22年的这个政策性、开发性的金融工具，当时是受这个公共卫生事件，还有一些外部的一些冲击等等。当然出于这种稳投资的压力比较大的这种因素，而六月初国商会先给予证券行调增了8000亿的一个信贷额度。但很快发现其实信贷额度有了，但项目资本已经到位，相对比较困难才是制约整个项目建设和贷款投放的一个瓶颈。资本金不到位，其实贷款也放不出去。所以就在6月26月29号，然后国务院常务会议确定了启动这个政策性开发性金融工具。补充重大项目资本金，但不超过全部资本金的50%，也可以为这个专项项目的资金进行一个搭桥。资金来源上，财政对这个政策行金融债贴息两年，然后央行通过L给这个DPU的一个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10:02</w:t>
      </w:r>
    </w:p>
    <w:p>
      <w:r>
        <w:rPr>
          <w:rFonts w:ascii="等线(中文正文)" w:hAnsi="等线(中文正文)" w:cs="等线(中文正文)" w:eastAsia="等线(中文正文)"/>
          <w:b w:val="false"/>
          <w:i w:val="false"/>
          <w:sz w:val="20"/>
        </w:rPr>
        <w:t>我们其实从下图的这个表可以看到，2022年9月的PSPSL的利率从2.8。请关注公众号思维纪要社，更多纪要请加V西安20210130。降到2.4，那9到11月净投放是6300亿，换句话说的话，这一轮的核心矛盾，其实从缺资金变成了资金有了，但项目资本经济有所缺的那这次的这个金融工具其实堵的瞄准的其实是这个堵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我们再往下看一下，从图像上来看的话，本轮的金融工具其实重点是三类项目。一是中央财经委明确的五大基础设施建设的项目，包括交通、水利、能源、信息、科技、物流、城市地下管廊、高标准农田和国家安全基础设施。二是重大科技创新相关的一些领域。三是专项债可投的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11:09</w:t>
      </w:r>
    </w:p>
    <w:p>
      <w:r>
        <w:rPr>
          <w:rFonts w:ascii="等线(中文正文)" w:hAnsi="等线(中文正文)" w:cs="等线(中文正文)" w:eastAsia="等线(中文正文)"/>
          <w:b w:val="false"/>
          <w:i w:val="false"/>
          <w:sz w:val="20"/>
        </w:rPr>
        <w:t>从节奏上来看的话，其实2022年7月份国开行农发行设立的基础设施的这个基金，第一批是3000亿。8月24号国商会再加了3000亿以上的一个额度，并新增把这个口行也加入到里面。到11到当年的11月末，两批其实贡大概7400亿全。全部投放完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11:32</w:t>
      </w:r>
    </w:p>
    <w:p>
      <w:r>
        <w:rPr>
          <w:rFonts w:ascii="等线(中文正文)" w:hAnsi="等线(中文正文)" w:cs="等线(中文正文)" w:eastAsia="等线(中文正文)"/>
          <w:b w:val="false"/>
          <w:i w:val="false"/>
          <w:sz w:val="20"/>
        </w:rPr>
        <w:t>这一轮其实它的特点在于什么呢？就是比较强的要市场化运作，不新增地方政府的一个债务。那政策行自主决策，根据项目质量的决定投不投。那第地方政府不就是不再出具类似于比如说还款承诺，不承担兜底责任等等的。其实也吸取了2015年的相关的一些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我们从这个图上来看的话，这个是2022年到2025年投资与实物的一个工作量的情况。与2015年那轮相比，这一轮从投放落地到开工的实质明显是有了缩短。2022年下半年专项债发行的空间有限，这些金融工具有效衔接了专项债的这么一个空档，对2022年下半年到2023年的实物工作量形成了有效的一个支撑。我们可以看到从图上看到，同样这个节点，石油沥青开工率和水泥的产量，其实同比是快速的一个上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我们现在到第三次，就是我们2025年的这个新型的创新金融工具。当年就是去年的4月25号的中央政治局会议宣布设立。同时PSODPSL的这个利率从2.25降到了2%。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12:54</w:t>
      </w:r>
    </w:p>
    <w:p>
      <w:r>
        <w:rPr>
          <w:rFonts w:ascii="等线(中文正文)" w:hAnsi="等线(中文正文)" w:cs="等线(中文正文)" w:eastAsia="等线(中文正文)"/>
          <w:b w:val="false"/>
          <w:i w:val="false"/>
          <w:sz w:val="20"/>
        </w:rPr>
        <w:t>九月末三家政策银行同步设立的基金合计规模是5000亿，全部用于补充项目资本金，并明确加大了对民间投资项目的支持。图像上其实我们可以看到聚焦，比如数字经济、人工智能、低空消费基础设施，包括绿色低碳、农业农村、交通物流、城市更新等等这些新的领域。其实我们可以明显的看看到和前两轮这个基建确实有明显的一个明显一个不同。就是前两轮还是以基建传统基建为主。那么到10月末5000亿全部投放完成，从设基金到投完只用了一个月。对比2022年那轮，其实我们就是去年新型的证券金融工具这一轮2025年这轮其实投向了更聚焦到这个新的生产力，对民间参与的强调也更加突出。所以说我们从一从这个层面上来看的话，其实整体来看的话，也确实说明这个工具也逐步逐走向一个逐渐成熟的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对于2026年的情况来看的话，就是2020年3月份的政府工作报告，明确了8000亿的新型的政金融工具的规模。重点其实也还是侧重于数字经济、人工智能、消费等等一些新的生产力的一个领域。在七月底在国家发改委的例行新闻发布会上面也指出，要抓住这个三季度施工的旺季，加快8000亿新型的政信金融工具资金的一个投放使用。八月中旬，其实发改委专题工作会议也再次强调部署了加快推进2026年新型政策性金融工具的一个投放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14:42</w:t>
      </w:r>
    </w:p>
    <w:p>
      <w:r>
        <w:rPr>
          <w:rFonts w:ascii="等线(中文正文)" w:hAnsi="等线(中文正文)" w:cs="等线(中文正文)" w:eastAsia="等线(中文正文)"/>
          <w:b w:val="false"/>
          <w:i w:val="false"/>
          <w:sz w:val="20"/>
        </w:rPr>
        <w:t>我们其实来看，依照往年的一个经验的话，截止到这个八月下旬，其实中信金融工具的一般是处于这个项目申报筛选和金融机构的一个评审向集中投放转换的这么一个阶段。其实是一个承上启下的一个阶段。要参照2025年的经验的话，就是九月底启动，十月底投放完毕，就一个月。我们也预计本轮的8000亿的额度，大概率也在三季度会集中的进行相关的一些消化。这个是我们对于2626年的这么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15:16</w:t>
      </w:r>
    </w:p>
    <w:p>
      <w:r>
        <w:rPr>
          <w:rFonts w:ascii="等线(中文正文)" w:hAnsi="等线(中文正文)" w:cs="等线(中文正文)" w:eastAsia="等线(中文正文)"/>
          <w:b w:val="false"/>
          <w:i w:val="false"/>
          <w:sz w:val="20"/>
        </w:rPr>
        <w:t>我们现在进入到第三部分，关于证券金融工具的投放模式和投放趋势。我们具体来看一下相关的这个投放模式。投放模式我们也进行相关的梳理，主要是三类，第一个是股权投资，这个股东借款，还有一个就是为专项债项目的一个资本金搭桥。流程上这个地方项目单位是主动申报，发改委牵头确定为备选项目清单，然后推荐给政策行。政策行的设立基金公司，按照市场化的自主自主决策的这么个原则，保本微利，自负盈亏，只做财务投资，行使股东权利，不参与实际的一个建设运营。并按照市场化的原则来确定退出的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16:00</w:t>
      </w:r>
    </w:p>
    <w:p>
      <w:r>
        <w:rPr>
          <w:rFonts w:ascii="等线(中文正文)" w:hAnsi="等线(中文正文)" w:cs="等线(中文正文)" w:eastAsia="等线(中文正文)"/>
          <w:b w:val="false"/>
          <w:i w:val="false"/>
          <w:sz w:val="20"/>
        </w:rPr>
        <w:t>一般第一种的股权投资，其实是基金公司直接入股项目公司。他从对外的企业来看，其实截止到今年2月末，我们也做做了一个梳理。农发基金直投是九家，其中七家是国企，一家是成都子公司。这个国开基金是直投37家，其中31家国企，一家央企子公司，八家城投子公司。那进入银行其实没有这个直投。直投对其实我们可以看到就是几家政策银行直投对象基本都是国央企和成都的子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这张图是新型证券金融工具投放方式的一个结构。可以看到股权投资其实是比较小的这么一个部分，大头还是债权性质的一个投放。其实合作的银行，防控风险、风险偏好相对比较谨慎的这个取向是比较一致的那第二类是股东借款，第三类是专项债资本金搭桥。我们先说一下第二类。第二类是这个股东借款，是基金公司委托政策行向这个项目股东提供借款。那股东在对项目实施主体的一个增资，因为这个项目资本金制度的要求，资本金是非债务性资金。那投放主体和项目实施主体之间，需要引入这个项目股东这一层。这个模式之下，其实投放主体实际是拥有债券，这个风险比股权是要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17:34</w:t>
      </w:r>
    </w:p>
    <w:p>
      <w:r>
        <w:rPr>
          <w:rFonts w:ascii="等线(中文正文)" w:hAnsi="等线(中文正文)" w:cs="等线(中文正文)" w:eastAsia="等线(中文正文)"/>
          <w:b w:val="false"/>
          <w:i w:val="false"/>
          <w:sz w:val="20"/>
        </w:rPr>
        <w:t>举例来说，比如说某科技公司A与政策性银行的这种基金公司。然后省分还有这个省分行签署了一个多差不多一个亿这种股东借款协议，用于子公司这个B项目的一个资本金。那该项目资本金比例是60%，与由这个股东公司和地方政府开发区指定的投资主体的共同投资。到2024年，B公司实缴资本已经超过90%，这个A剩余认缴的1亿元与正信金融工具投放金额基本一致。其实这个其实我们可以看到，工具正是补上了这个缺口的这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18:15</w:t>
      </w:r>
    </w:p>
    <w:p>
      <w:r>
        <w:rPr>
          <w:rFonts w:ascii="等线(中文正文)" w:hAnsi="等线(中文正文)" w:cs="等线(中文正文)" w:eastAsia="等线(中文正文)"/>
          <w:b w:val="false"/>
          <w:i w:val="false"/>
          <w:sz w:val="20"/>
        </w:rPr>
        <w:t>第三种，是这个专项债资本金的一个搭桥，专项债资本这个专项债资金还没有到位的时候，政策性金融工具就是政策性金融工具的这个资金，其实可以先行垫付，等专项债资金到位以后，再置换腾换出来，避免这种基建资金的一个断档。那这类的在，资金的一个性质，也是一个债务性的资金，以项目股东的名义借贷，由股东承担偿还责任，这个其实我们也看到了。然后下面这个图是这个征信金融工具的投放的一个模式。这张图就把三种投放模式，其实我们画到了一个流程图里面。股权投资是直接入股，然后股东借款和中央站搭桥本质上都是债券。那区别其实是一个是在于是补充存量的一个资本金，一个是临时垫付。模式不同，其实风险和这个撬动的一个逻辑确实也不太一样。后面我们这个测算相同倍数的时候，确实口径的差异确实会造成一个比较大的一个结构的一个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19:22</w:t>
      </w:r>
    </w:p>
    <w:p>
      <w:r>
        <w:rPr>
          <w:rFonts w:ascii="等线(中文正文)" w:hAnsi="等线(中文正文)" w:cs="等线(中文正文)" w:eastAsia="等线(中文正文)"/>
          <w:b w:val="false"/>
          <w:i w:val="false"/>
          <w:sz w:val="20"/>
        </w:rPr>
        <w:t>从投放节奏来看的话，确实这种政策性金融工具的投放节奏非常快。他从基金公司设立的到完成第一批投放的，基本都在一个月以内。在2015年8月25 26，国开农发基金成立。那么这个9月14号第一批就投完了，前后不到三周。2022年7月20号，农发基金成立，8月20号完成第一批投放。9月2号进出口行设立相关的一些基金，那9月28号其实是完成了第一批的一个投放。2025年是9月29号参加业银行的基金设立，十月27到29依次完成了投放，三轮都是这个速度，其实也说明从项目储备到投放的通道，相对来说是啊非常成熟了。这是执行这个政策的时候，其实它的政策执行效率是非常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20:19</w:t>
      </w:r>
    </w:p>
    <w:p>
      <w:r>
        <w:rPr>
          <w:rFonts w:ascii="等线(中文正文)" w:hAnsi="等线(中文正文)" w:cs="等线(中文正文)" w:eastAsia="等线(中文正文)"/>
          <w:b w:val="false"/>
          <w:i w:val="false"/>
          <w:sz w:val="20"/>
        </w:rPr>
        <w:t>那从整个投放趋势来看，其实领域我们可以看到这几次的一个变化，领域从传统的基建转向了科技创新和消费。2015年专项建设基金主要是投棚改、水利、轨交和传等等传统基建。外交一部分外加一部分这种制造业的一个转型升级的项目。2020转向了五大基础设施，比如加科技创新要向经济大省有所倾斜。2025年重心变成了科创和消费。其实这个也天然的偏向了经济大省，同时也注重民间资本的一个参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20:54</w:t>
      </w:r>
    </w:p>
    <w:p>
      <w:r>
        <w:rPr>
          <w:rFonts w:ascii="等线(中文正文)" w:hAnsi="等线(中文正文)" w:cs="等线(中文正文)" w:eastAsia="等线(中文正文)"/>
          <w:b w:val="false"/>
          <w:i w:val="false"/>
          <w:sz w:val="20"/>
        </w:rPr>
        <w:t>那背后其实反映的是什么呢？反映的其实拉动经济的重心，其实从之前的这个投资驱动，确实像这个新的生产力进行一个转向。那么相关的一些政策性的工具也跟着政策的重心在走，其实也体现了这么一个趋势。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21:17</w:t>
      </w:r>
    </w:p>
    <w:p>
      <w:r>
        <w:rPr>
          <w:rFonts w:ascii="等线(中文正文)" w:hAnsi="等线(中文正文)" w:cs="等线(中文正文)" w:eastAsia="等线(中文正文)"/>
          <w:b w:val="false"/>
          <w:i w:val="false"/>
          <w:sz w:val="20"/>
        </w:rPr>
        <w:t>从整个效果来看，三轮振兴金融工具投放，其实都带来了总体贷款需求的一个回升，但是2025年这一轮对民间投资的一个撬动，其实更加明显。2015年是对基建贷款需求拉高，这个基建贷款的一个需求其实拉高了整体的一个需求。在2020年的基建和小微企业的需求都有所上升，那么2025年基建融资需求的上升不太明显。其实整体上确实有比如说小型企业贷款拉动。从社融结构来看，企业债券融资占比有所回升。从货贷率来看，在2025年以来，中小企业就是特别中小科技企业获贷率其实有一个大幅的回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22:02</w:t>
      </w:r>
    </w:p>
    <w:p>
      <w:r>
        <w:rPr>
          <w:rFonts w:ascii="等线(中文正文)" w:hAnsi="等线(中文正文)" w:cs="等线(中文正文)" w:eastAsia="等线(中文正文)"/>
          <w:b w:val="false"/>
          <w:i w:val="false"/>
          <w:sz w:val="20"/>
        </w:rPr>
        <w:t>这个钱确实就是体现了像民企，科创，科技创新等等这样一些领域，其实有所就是更多的像这些领域。这个其实也是我们认为其实也是一个新型政策性金融工具，这个新型两个亿的这两个字的意义所在。从这个图中的这两张图，我们可以看一下，分别是科技型的中小企业获贷率和社融的一个结构。左边从25年以来，中小企业中小科技企业的货代加速和货贷率的明显是有一个提升的。右边来看，这个是企业债券在社融中的一个占比，其实也有所回升。这个与正性金融工具撬动民间资金的一个方向，是相对来说是比较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那我们下面我们来看一看整个投放的一些区域的一些特点，包括各省的一个额度。我们手工进行了相关的一些整理，这些金融工具分省份投放的一些额度，结论相对是比较清晰的。大家可以从这两个图上可以看到，经济大省的拿的名额度明显是更高的那推测的原因是经济大省的重大的项目建设储备相对比较多，资金的资本金需求比较大。这个其实也正是体现了支持经济大省挑大梁的一个投放的一个导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23:32</w:t>
      </w:r>
    </w:p>
    <w:p>
      <w:r>
        <w:rPr>
          <w:rFonts w:ascii="等线(中文正文)" w:hAnsi="等线(中文正文)" w:cs="等线(中文正文)" w:eastAsia="等线(中文正文)"/>
          <w:b w:val="false"/>
          <w:i w:val="false"/>
          <w:sz w:val="20"/>
        </w:rPr>
        <w:t>好的，那我们现在进入到我们今天的第四部分。然后我们来看一看这一个专业性金融工具，它的对经济的一个操作倍数到底是怎么来测算的，首先我们先讲一下整体的一个逻辑。最近金融工具是补充了这个资本金，让项目具备融资条件，社会资本和银行贷款进行跟进。那这部分其实就是被撬动的这么一个资金。那动倍数往往是有三种口径，我们从这个图当中你可以看一下，就是总投资撬动倍数。大家用工具这个投放金额除以总投资进行估算。信贷撬动倍数用配套信贷除以工具投放金额，还有项目层面的一个倍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24:16</w:t>
      </w:r>
    </w:p>
    <w:p>
      <w:r>
        <w:rPr>
          <w:rFonts w:ascii="等线(中文正文)" w:hAnsi="等线(中文正文)" w:cs="等线(中文正文)" w:eastAsia="等线(中文正文)"/>
          <w:b w:val="false"/>
          <w:i w:val="false"/>
          <w:sz w:val="20"/>
        </w:rPr>
        <w:t>那一个自然的趋势就是随着最低资本金比例结构的一个调降，理论上跳动倍数是上升的。但是我们也要特别注意，大部分基建项目实际的资本金比例是显著高于的法定的下限。所以说这个实际的撬动倍数比这个理论值应该是更加低。因为它实际的资本金比例，刚刚我们讲到是显著低于法定的一个下限。比如说它这个项目资本金，它其实可能用了30%到40%，其实它的下限有可能是20%。那很明显他这个理论的撬动倍数其实是要更高的，实际撬动倍数就更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24:55</w:t>
      </w:r>
    </w:p>
    <w:p>
      <w:r>
        <w:rPr>
          <w:rFonts w:ascii="等线(中文正文)" w:hAnsi="等线(中文正文)" w:cs="等线(中文正文)" w:eastAsia="等线(中文正文)"/>
          <w:b w:val="false"/>
          <w:i w:val="false"/>
          <w:sz w:val="20"/>
        </w:rPr>
        <w:t>那从从从倍数来看，具体来看，我们2015年按25%的一个平均的资本金资本金的一个均值来进行测算。8000亿专项在理论上翘动了大概四倍，约3.2万亿的总投资。约占当年固定资产投资的一个比例，大概是5.8左右，5.8%左右。国开行实际批披露的这个实际投放是5800亿，拉动投资2万亿，倍数大概是3.4倍，这个其实看起来应该这个气倍数也相对比较契合的。2020的工具占比不超过总资本金的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那么假设总资本金是假设总的资本金20%，工具占总投的10%，理论上是十倍，那实际上农发大概是12.2倍，进驻银行是14.6倍。那7400亿拉动7400亿的投放的拉动信贷是3.5万亿，那信贷撬动的倍数，大概是4.7倍左右。可以看到我们刚刚讲的这种披露口径之下的实际的倍数，往往是高于这个理论值。原因在于披露的总投资的口径可能更宽。这个其实也是我们想要去做一个提醒的，就是后面可能涉及到销售倍数，它高估到底是什么原因？这个也可能是啊原因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26:11</w:t>
      </w:r>
    </w:p>
    <w:p>
      <w:r>
        <w:rPr>
          <w:rFonts w:ascii="等线(中文正文)" w:hAnsi="等线(中文正文)" w:cs="等线(中文正文)" w:eastAsia="等线(中文正文)"/>
          <w:b w:val="false"/>
          <w:i w:val="false"/>
          <w:sz w:val="20"/>
        </w:rPr>
        <w:t>到2025年的5000亿的这个创新金融，新型的创新金融工具预计拉动的总投资大概是7万亿左右，倍数是14倍。那分政策银银行来看，国开是15.4倍，农发12.9倍，进进出口银行的是13倍，我们也是通过相关的这种觥，就是各家银行公开的相关的数据进行相关的一个测算。这个表其实就把三轮的投放的规模，三轮的创新金融工具投放的这个规模，理论倍数、实际披露倍数放一起，其实可以清楚的看到，这个倍数的话是一轮比一轮高。那2015年，是3到4倍，2022年是10到14倍，2025年是12倍到15倍。这个其实一方面是来自于资本金比例的一个调价，那当然也也投放也来也也有个原因，也就是因为比如说投放领域和项目结构的一个变化。比如说越来越投向于相对轻资产，比如说科创等等，资本金占比比较低的一些领域，那账面倍数自然可能就体现的，比如说这个撬动倍数可能就越越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27:23</w:t>
      </w:r>
    </w:p>
    <w:p>
      <w:r>
        <w:rPr>
          <w:rFonts w:ascii="等线(中文正文)" w:hAnsi="等线(中文正文)" w:cs="等线(中文正文)" w:eastAsia="等线(中文正文)"/>
          <w:b w:val="false"/>
          <w:i w:val="false"/>
          <w:sz w:val="20"/>
        </w:rPr>
        <w:t>这边我们也手动搜集了中信银行各省分行披露的相关一些数据，算这个分省份的一个撬动倍数。请关注公众号思维纪要社，更多纪要请加V西安20210130。202年的各省份大概是在7到14倍，2025年的扩到了6到27倍，但大部分还主要是集中在十倍附近，它波动的范围明显是有所扩大。差异来源主要有两个，这个我们也做了一个分析。第一个是各省的一个产业结构不太一样，储备项目要求的资本金比例当然也不一样。第二个是财力不同，资本金缺口大小也不一样。缺口越小，其实估算出来的总的销售倍数反而越高。所以说分省被就是分省份。我们去看这个技术的高低，其实并不直接等于这种投资效率的高低，其实也要看口径。我们也看到就是建议重点关注到，我们其实看到它基本上集中在是十倍附近这个中枢上，我们也不要去看某些省份的一个极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28:34</w:t>
      </w:r>
    </w:p>
    <w:p>
      <w:r>
        <w:rPr>
          <w:rFonts w:ascii="等线(中文正文)" w:hAnsi="等线(中文正文)" w:cs="等线(中文正文)" w:eastAsia="等线(中文正文)"/>
          <w:b w:val="false"/>
          <w:i w:val="false"/>
          <w:sz w:val="20"/>
        </w:rPr>
        <w:t>对于项目层面，我们也做了相关的一些测算，基于各省国资委和项目主体披露的相关的信息，那2025年的样本的一个样本项目的一个销售倍数大概是在7到22倍之间。那大同样的其实大多数还是集中在十倍附近。其实总体来看，我们看到其实这个倍数确实也不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28:57</w:t>
      </w:r>
    </w:p>
    <w:p>
      <w:r>
        <w:rPr>
          <w:rFonts w:ascii="等线(中文正文)" w:hAnsi="等线(中文正文)" w:cs="等线(中文正文)" w:eastAsia="等线(中文正文)"/>
          <w:b w:val="false"/>
          <w:i w:val="false"/>
          <w:sz w:val="20"/>
        </w:rPr>
        <w:t>那那这个到底原因是什么呢？为什么会可能会产生一些高估的风情况呢？我们也做了一些分析，主要是我们认为主要是三个原因。第一个是同一项目的不同股东可能都申请了韧性这个金融工具按单笔投放算这个其实按这个单单笔投放算的倍数会更高。项目披露的总投资，往往是整整个全生命周期的一个总投资，但是这个工具补充的只是某一期的一个资本金，其实分子分母的口径可能也不太匹配。第三个，就是项目申请时可能已经有了建设进度。原来这种带头的资带头的资金没有那么多人，所以说如果用总投估算，其实自然可能就偏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29:45</w:t>
      </w:r>
    </w:p>
    <w:p>
      <w:r>
        <w:rPr>
          <w:rFonts w:ascii="等线(中文正文)" w:hAnsi="等线(中文正文)" w:cs="等线(中文正文)" w:eastAsia="等线(中文正文)"/>
          <w:b w:val="false"/>
          <w:i w:val="false"/>
          <w:sz w:val="20"/>
        </w:rPr>
        <w:t>这三个问题，其实本质还是一个口新的问题。比如说拿单笔资金对这个全周期的一个总投资，就是我们说这个单笔资金。其实单笔的这种政信金融金融工具的这个资金，它应对的是比如说全周期口径的一个总投资。从倍数上来看的话，其实可能就相对来说是比较好看的那我们其实这边也有有了相关一些案例，比如说假项目，这个其实也是我们从实际的案例当中，我们去做的一些筛筛选。比如说假设我们两位股东各获批三十多亿，单笔算其实倍数是14倍和17倍。但是如果按项目整体获批的这个百亿资金来算，那么只有这个5.49倍，那整个比如说乙项目，按规划总图算是13倍，但按一期的计划投资算只有6点六七倍，这个其实也是刚刚我们说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30:41</w:t>
      </w:r>
    </w:p>
    <w:p>
      <w:r>
        <w:rPr>
          <w:rFonts w:ascii="等线(中文正文)" w:hAnsi="等线(中文正文)" w:cs="等线(中文正文)" w:eastAsia="等线(中文正文)"/>
          <w:b w:val="false"/>
          <w:i w:val="false"/>
          <w:sz w:val="20"/>
        </w:rPr>
        <w:t>丙项目，按总投资算是12倍，但是项目的实际已经投了超过是70%，那未来投资，只有三成，所以算下来只有3.62倍。整体来看，整个案例其实也都印证了就三个案例，其实也都印证了这个高估的这种存在的可能性。所以说我们也觉得就是在我们在做这个相关的一个相同倍数测算的时候，其实总体来说对于口径可能还是要进行相关的一些关注的。这边我们就对今天的这个征信金融工具的研究框架也就分析就到此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31:23</w:t>
      </w:r>
    </w:p>
    <w:p>
      <w:r>
        <w:rPr>
          <w:rFonts w:ascii="等线(中文正文)" w:hAnsi="等线(中文正文)" w:cs="等线(中文正文)" w:eastAsia="等线(中文正文)"/>
          <w:b w:val="false"/>
          <w:i w:val="false"/>
          <w:sz w:val="20"/>
        </w:rPr>
        <w:t>那么后续也如果大家有相关的需求的话，也可以随也欢迎随时找我们这个产业固收团队。我们也非常荣幸有机会给大家去做一些相关的后续的路演，然后就是相关的一些课题等等。那么也请大家多支持我们长江固收。非常感谢感谢各位投资人的晚上的时间。欢迎会后找我们继续交流，也谢谢大家，今天交流就到此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E6636BB100BBAFBB4581D91E6DDB8464E38EBE8CB3FDD2BC2AF6463F47DFE57AEE7B9DEC4D5BEED4A81F1793FD1F40E6586064C31A5B28D65547FC765002CE6DC431535</vt:lpwstr>
  </property>
</Properties>
</file>