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中信建投 - 2026年全行业研究框架培训·消费专场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食品饮料 白酒 上游 中游 下游 研究框架 消费 赛道 行业特性 to b生意 电商 社交属性 新五大周期论 成长期 成熟期 衰退期 供给政策 人口结构 量价齐升 量平价增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涵盖了造纸、消费（包括食品饮料、家电、轻工、珠宝等）行业的深入讨论，强调了行业发展趋势、投资策略和研究框架的重要性。造纸行业面临资本开支下降、新增产能减少的态势，头部企业集中于成长性市场，国产木浆替代进口趋势加速，行业需求稳健，供给优化。消费行业中，食品饮料细分市场、家电的白电与黑电、轻工的定制家居与软体家居，以及珠宝行业的黄金饰品化趋势成为关注焦点。对话强调，深入理解行业特性、竞争格局、消费者行为和宏观经济环境对于制定有效投资策略至关重要。中信建投分析师团队提供了跨行业洞见和投资指导，强调了行业研究在投资决策中的核心作用。</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中信建投2026年全行业研究框架培训消费专场</w:t>
      </w:r>
    </w:p>
    <w:p>
      <w:r>
        <w:rPr>
          <w:rFonts w:ascii="等线(中文正文)" w:hAnsi="等线(中文正文)" w:cs="等线(中文正文)" w:eastAsia="等线(中文正文)"/>
          <w:b w:val="false"/>
          <w:i w:val="false"/>
          <w:sz w:val="20"/>
        </w:rPr>
        <w:t>本次会议为中信建投研究发展部组织的闭门会议，旨在分享全行业研究框架，特别聚焦于大消费领域，包括食品饮料、商社、轻工、家电等行业。会议强调了免责声明和风险提示，禁止参会者制作和传播会议纪要。分享内容涵盖了行业研究框架、市场分析和投资建议，旨在帮助投资者自主做出投资决策。</w:t>
      </w:r>
    </w:p>
    <w:p>
      <w:r>
        <w:rPr>
          <w:rFonts w:ascii="等线(中文正文)" w:hAnsi="等线(中文正文)" w:cs="等线(中文正文)" w:eastAsia="等线(中文正文)"/>
          <w:b w:val="false"/>
          <w:i w:val="false"/>
          <w:sz w:val="20"/>
        </w:rPr>
        <w:t/>
      </w:r>
    </w:p>
    <w:p>
      <w:pPr>
        <w:pStyle w:val="ab"/>
        <w:numPr>
          <w:numId w:val="2"/>
        </w:numPr>
      </w:pPr>
      <w:r>
        <w:t>08:16 食品饮料行业细分与研究方法论</w:t>
      </w:r>
    </w:p>
    <w:p>
      <w:r>
        <w:rPr>
          <w:rFonts w:ascii="等线(中文正文)" w:hAnsi="等线(中文正文)" w:cs="等线(中文正文)" w:eastAsia="等线(中文正文)"/>
          <w:b w:val="false"/>
          <w:i w:val="false"/>
          <w:sz w:val="20"/>
        </w:rPr>
        <w:t>食品饮料行业涵盖上游原料、中游品牌和下游渠道，包括牧业、代糖、零食量贩等细分赛道。研究方法需针对上游原料、中游品牌及下游渠道的特性，形成个性化的研究框架，以捕捉行业演变中的投资机会。</w:t>
      </w:r>
    </w:p>
    <w:p>
      <w:r>
        <w:rPr>
          <w:rFonts w:ascii="等线(中文正文)" w:hAnsi="等线(中文正文)" w:cs="等线(中文正文)" w:eastAsia="等线(中文正文)"/>
          <w:b w:val="false"/>
          <w:i w:val="false"/>
          <w:sz w:val="20"/>
        </w:rPr>
        <w:t/>
      </w:r>
    </w:p>
    <w:p>
      <w:pPr>
        <w:pStyle w:val="ab"/>
        <w:numPr>
          <w:numId w:val="3"/>
        </w:numPr>
      </w:pPr>
      <w:r>
        <w:t>12:57 行业分析框架与白酒行业独特性探讨</w:t>
      </w:r>
    </w:p>
    <w:p>
      <w:r>
        <w:rPr>
          <w:rFonts w:ascii="等线(中文正文)" w:hAnsi="等线(中文正文)" w:cs="等线(中文正文)" w:eastAsia="等线(中文正文)"/>
          <w:b w:val="false"/>
          <w:i w:val="false"/>
          <w:sz w:val="20"/>
        </w:rPr>
        <w:t>对话深入讨论了行业分析的共性与个性，强调了收入规模、盈利能力、行业空间及竞争格局等关键指标的重要性。特别聚焦于白酒行业，指出其高ROE、高现金流、高分红率的独特优势，以及与食品饮料其他细分市场的差异。强调了研究行业时应挖掘其独特性，避免报告模板化，确保分析具有深度和针对性。</w:t>
      </w:r>
    </w:p>
    <w:p>
      <w:r>
        <w:rPr>
          <w:rFonts w:ascii="等线(中文正文)" w:hAnsi="等线(中文正文)" w:cs="等线(中文正文)" w:eastAsia="等线(中文正文)"/>
          <w:b w:val="false"/>
          <w:i w:val="false"/>
          <w:sz w:val="20"/>
        </w:rPr>
        <w:t/>
      </w:r>
    </w:p>
    <w:p>
      <w:pPr>
        <w:pStyle w:val="ab"/>
        <w:numPr>
          <w:numId w:val="4"/>
        </w:numPr>
      </w:pPr>
      <w:r>
        <w:t>15:14 白酒行业特性：to B生意与上游驱动下游</w:t>
      </w:r>
    </w:p>
    <w:p>
      <w:r>
        <w:rPr>
          <w:rFonts w:ascii="等线(中文正文)" w:hAnsi="等线(中文正文)" w:cs="等线(中文正文)" w:eastAsia="等线(中文正文)"/>
          <w:b w:val="false"/>
          <w:i w:val="false"/>
          <w:sz w:val="20"/>
        </w:rPr>
        <w:t>对话深入探讨了白酒行业的独特属性，将其定义为一种to B的商业模式，主要消费场景集中在企事业单位的社交场合，而非个人消费，这解释了为何白酒在电商领域的占比一直较低。此外，白酒行业呈现出上游驱动下游的特性，即厂家的话语权远超商家，行业动态主要由茅台、五粮液等龙头酒厂的动向决定。这些特性共同构成了白酒行业区别于其他行业的独特性。</w:t>
      </w:r>
    </w:p>
    <w:p>
      <w:r>
        <w:rPr>
          <w:rFonts w:ascii="等线(中文正文)" w:hAnsi="等线(中文正文)" w:cs="等线(中文正文)" w:eastAsia="等线(中文正文)"/>
          <w:b w:val="false"/>
          <w:i w:val="false"/>
          <w:sz w:val="20"/>
        </w:rPr>
        <w:t/>
      </w:r>
    </w:p>
    <w:p>
      <w:pPr>
        <w:pStyle w:val="ab"/>
        <w:numPr>
          <w:numId w:val="5"/>
        </w:numPr>
      </w:pPr>
      <w:r>
        <w:t>18:45 白酒行业研究的五大周期论</w:t>
      </w:r>
    </w:p>
    <w:p>
      <w:r>
        <w:rPr>
          <w:rFonts w:ascii="等线(中文正文)" w:hAnsi="等线(中文正文)" w:cs="等线(中文正文)" w:eastAsia="等线(中文正文)"/>
          <w:b w:val="false"/>
          <w:i w:val="false"/>
          <w:sz w:val="20"/>
        </w:rPr>
        <w:t>对话深入探讨了白酒行业研究的独特框架——五大周期论，包括产业周期、库存周期、经济周期、产品周期和企业家周期。该框架不仅适用于白酒，也适用于其他消费行业，旨在全面理解行业特性、发展阶段及企业动态，从而做出更精准的市场判断。</w:t>
      </w:r>
    </w:p>
    <w:p>
      <w:r>
        <w:rPr>
          <w:rFonts w:ascii="等线(中文正文)" w:hAnsi="等线(中文正文)" w:cs="等线(中文正文)" w:eastAsia="等线(中文正文)"/>
          <w:b w:val="false"/>
          <w:i w:val="false"/>
          <w:sz w:val="20"/>
        </w:rPr>
        <w:t/>
      </w:r>
    </w:p>
    <w:p>
      <w:pPr>
        <w:pStyle w:val="ab"/>
        <w:numPr>
          <w:numId w:val="6"/>
        </w:numPr>
      </w:pPr>
      <w:r>
        <w:t>26:16 白酒行业周期分析与投资逻辑</w:t>
      </w:r>
    </w:p>
    <w:p>
      <w:r>
        <w:rPr>
          <w:rFonts w:ascii="等线(中文正文)" w:hAnsi="等线(中文正文)" w:cs="等线(中文正文)" w:eastAsia="等线(中文正文)"/>
          <w:b w:val="false"/>
          <w:i w:val="false"/>
          <w:sz w:val="20"/>
        </w:rPr>
        <w:t>对话深入探讨了白酒行业自2014年起的股价上涨周期，指出不同品牌在各阶段的盈利差异，如茅台早期复苏、区域白酒次高端价位战等。分析了行业复苏背后的经济因素及投资者关注点，如批价、动销等指标，强调了周期性研究框架在具体行业分析中的应用价值。</w:t>
      </w:r>
    </w:p>
    <w:p>
      <w:r>
        <w:rPr>
          <w:rFonts w:ascii="等线(中文正文)" w:hAnsi="等线(中文正文)" w:cs="等线(中文正文)" w:eastAsia="等线(中文正文)"/>
          <w:b w:val="false"/>
          <w:i w:val="false"/>
          <w:sz w:val="20"/>
        </w:rPr>
        <w:t/>
      </w:r>
    </w:p>
    <w:p>
      <w:pPr>
        <w:pStyle w:val="ab"/>
        <w:numPr>
          <w:numId w:val="7"/>
        </w:numPr>
      </w:pPr>
      <w:r>
        <w:t>30:40 乳制品行业周期反转与市场趋势分析</w:t>
      </w:r>
    </w:p>
    <w:p>
      <w:r>
        <w:rPr>
          <w:rFonts w:ascii="等线(中文正文)" w:hAnsi="等线(中文正文)" w:cs="等线(中文正文)" w:eastAsia="等线(中文正文)"/>
          <w:b w:val="false"/>
          <w:i w:val="false"/>
          <w:sz w:val="20"/>
        </w:rPr>
        <w:t>对话深入探讨了乳制品行业当前所处的生命周期阶段，特别是奶价波动对上下游企业的影响。上游牧场受益于奶价上涨及肉牛销售，而下游乳企面临成本压力，导致利润率下降。同时，乳制品深加工领域如稀奶油、奶酪、乳清蛋白等快速发展，展现出长期成长潜力。此外，啤酒行业进入成熟期，饮料市场健康化趋势明显，无糖茶和功能饮料迎来增长机遇。</w:t>
      </w:r>
    </w:p>
    <w:p>
      <w:r>
        <w:rPr>
          <w:rFonts w:ascii="等线(中文正文)" w:hAnsi="等线(中文正文)" w:cs="等线(中文正文)" w:eastAsia="等线(中文正文)"/>
          <w:b w:val="false"/>
          <w:i w:val="false"/>
          <w:sz w:val="20"/>
        </w:rPr>
        <w:t/>
      </w:r>
    </w:p>
    <w:p>
      <w:pPr>
        <w:pStyle w:val="ab"/>
        <w:numPr>
          <w:numId w:val="8"/>
        </w:numPr>
      </w:pPr>
      <w:r>
        <w:t>35:59 家电板块研究框架分享：稳健资产与成长性资产分类</w:t>
      </w:r>
    </w:p>
    <w:p>
      <w:r>
        <w:rPr>
          <w:rFonts w:ascii="等线(中文正文)" w:hAnsi="等线(中文正文)" w:cs="等线(中文正文)" w:eastAsia="等线(中文正文)"/>
          <w:b w:val="false"/>
          <w:i w:val="false"/>
          <w:sz w:val="20"/>
        </w:rPr>
        <w:t>分享了家电板块的研究框架，将其分为稳健资产和成长性资产两大类。稳健资产包括传统白电和厨电，成长性资产则涵盖海外市场的清洁电器等新兴品类。强调了家电研究方法的多样性，并指出掌握这些方法有助于理解整个消费品板块。</w:t>
      </w:r>
    </w:p>
    <w:p>
      <w:r>
        <w:rPr>
          <w:rFonts w:ascii="等线(中文正文)" w:hAnsi="等线(中文正文)" w:cs="等线(中文正文)" w:eastAsia="等线(中文正文)"/>
          <w:b w:val="false"/>
          <w:i w:val="false"/>
          <w:sz w:val="20"/>
        </w:rPr>
        <w:t/>
      </w:r>
    </w:p>
    <w:p>
      <w:pPr>
        <w:pStyle w:val="ab"/>
        <w:numPr>
          <w:numId w:val="9"/>
        </w:numPr>
      </w:pPr>
      <w:r>
        <w:t>39:49 白电行业存量周期与竞争格局分析</w:t>
      </w:r>
    </w:p>
    <w:p>
      <w:r>
        <w:rPr>
          <w:rFonts w:ascii="等线(中文正文)" w:hAnsi="等线(中文正文)" w:cs="等线(中文正文)" w:eastAsia="等线(中文正文)"/>
          <w:b w:val="false"/>
          <w:i w:val="false"/>
          <w:sz w:val="20"/>
        </w:rPr>
        <w:t>对话深入探讨了白电行业在存量市场的背景下，如何通过产品结构优化实现增长，以及行业竞争格局的稳定性。指出尽管面临需求回落，但通过提升产品价格和优化结构，白电行业仍能保持增长。同时，美的等龙头企业的效率提升和d to c转型，展示了正向的价格竞争模式，巩固了市场地位。2026年，行业竞争格局预计更加稳定，市场占有率向龙头公司回升。</w:t>
      </w:r>
    </w:p>
    <w:p>
      <w:r>
        <w:rPr>
          <w:rFonts w:ascii="等线(中文正文)" w:hAnsi="等线(中文正文)" w:cs="等线(中文正文)" w:eastAsia="等线(中文正文)"/>
          <w:b w:val="false"/>
          <w:i w:val="false"/>
          <w:sz w:val="20"/>
        </w:rPr>
        <w:t/>
      </w:r>
    </w:p>
    <w:p>
      <w:pPr>
        <w:pStyle w:val="ab"/>
        <w:numPr>
          <w:numId w:val="10"/>
        </w:numPr>
      </w:pPr>
      <w:r>
        <w:t>48:06 中国白电企业海外扩张与品牌本土化策略</w:t>
      </w:r>
    </w:p>
    <w:p>
      <w:r>
        <w:rPr>
          <w:rFonts w:ascii="等线(中文正文)" w:hAnsi="等线(中文正文)" w:cs="等线(中文正文)" w:eastAsia="等线(中文正文)"/>
          <w:b w:val="false"/>
          <w:i w:val="false"/>
          <w:sz w:val="20"/>
        </w:rPr>
        <w:t>讨论了中国白电企业通过供应链优势、研发投入和本土化策略在海外市场取得的进展，以及通过收购海外品牌提升竞争力的方法，指出国内白电市场稳定，海外市场增量明显，企业利润率有望提升。</w:t>
      </w:r>
    </w:p>
    <w:p>
      <w:r>
        <w:rPr>
          <w:rFonts w:ascii="等线(中文正文)" w:hAnsi="等线(中文正文)" w:cs="等线(中文正文)" w:eastAsia="等线(中文正文)"/>
          <w:b w:val="false"/>
          <w:i w:val="false"/>
          <w:sz w:val="20"/>
        </w:rPr>
        <w:t/>
      </w:r>
    </w:p>
    <w:p>
      <w:pPr>
        <w:pStyle w:val="ab"/>
        <w:numPr>
          <w:numId w:val="11"/>
        </w:numPr>
      </w:pPr>
      <w:r>
        <w:t>51:36 白电龙头成稳健资产新宠</w:t>
      </w:r>
    </w:p>
    <w:p>
      <w:r>
        <w:rPr>
          <w:rFonts w:ascii="等线(中文正文)" w:hAnsi="等线(中文正文)" w:cs="等线(中文正文)" w:eastAsia="等线(中文正文)"/>
          <w:b w:val="false"/>
          <w:i w:val="false"/>
          <w:sz w:val="20"/>
        </w:rPr>
        <w:t>白电龙头企业因其稳定的业绩和提升的股息支付率，展现出类红利资产的属性，吸引了包括保险资金在内的长线投资者。尽管AI成为当前市场热点，但白电龙头如美的股价创新高，未受负面影响，反而因红利属性获得更多青睐。投资者可将其视为稳健配置的底仓选择。</w:t>
      </w:r>
    </w:p>
    <w:p>
      <w:r>
        <w:rPr>
          <w:rFonts w:ascii="等线(中文正文)" w:hAnsi="等线(中文正文)" w:cs="等线(中文正文)" w:eastAsia="等线(中文正文)"/>
          <w:b w:val="false"/>
          <w:i w:val="false"/>
          <w:sz w:val="20"/>
        </w:rPr>
        <w:t/>
      </w:r>
    </w:p>
    <w:p>
      <w:pPr>
        <w:pStyle w:val="ab"/>
        <w:numPr>
          <w:numId w:val="12"/>
        </w:numPr>
      </w:pPr>
      <w:r>
        <w:t>53:24 中国家电企业通过技术与资本运作抢占海外市场</w:t>
      </w:r>
    </w:p>
    <w:p>
      <w:r>
        <w:rPr>
          <w:rFonts w:ascii="等线(中文正文)" w:hAnsi="等线(中文正文)" w:cs="等线(中文正文)" w:eastAsia="等线(中文正文)"/>
          <w:b w:val="false"/>
          <w:i w:val="false"/>
          <w:sz w:val="20"/>
        </w:rPr>
        <w:t>对话讨论了中国家电企业如海信、TCL通过技术创新和资本运作策略，在全球电视市场中抢占三星和LG份额的增长逻辑。中国企业在mini LED技术上领先，实现画质提升与成本控制，同时通过品牌收购和合作，如TCL与索尼合资，实现中高端市场的布局，形成对三星和LG的上下包围策略，预计未来市占率将进一步提升。</w:t>
      </w:r>
    </w:p>
    <w:p>
      <w:r>
        <w:rPr>
          <w:rFonts w:ascii="等线(中文正文)" w:hAnsi="等线(中文正文)" w:cs="等线(中文正文)" w:eastAsia="等线(中文正文)"/>
          <w:b w:val="false"/>
          <w:i w:val="false"/>
          <w:sz w:val="20"/>
        </w:rPr>
        <w:t/>
      </w:r>
    </w:p>
    <w:p>
      <w:pPr>
        <w:pStyle w:val="ab"/>
        <w:numPr>
          <w:numId w:val="13"/>
        </w:numPr>
      </w:pPr>
      <w:r>
        <w:t>57:50 厨电行业投资逻辑与增长点分析</w:t>
      </w:r>
    </w:p>
    <w:p>
      <w:r>
        <w:rPr>
          <w:rFonts w:ascii="等线(中文正文)" w:hAnsi="等线(中文正文)" w:cs="等线(中文正文)" w:eastAsia="等线(中文正文)"/>
          <w:b w:val="false"/>
          <w:i w:val="false"/>
          <w:sz w:val="20"/>
        </w:rPr>
        <w:t>对话深入探讨了厨电行业与地产后周期的关系，指出投资逻辑更多关联于房地产政策变化。政策影响首先体现在估值上，随后才是基本面的滞后反应。随着地产红利减弱，厨电行业成长性转向品类配套升级，如洗碗机、蒸烤箱等新兴产品渗透率提升，但整体行业仍面临下行周期，需等待新机遇。</w:t>
      </w:r>
    </w:p>
    <w:p>
      <w:r>
        <w:rPr>
          <w:rFonts w:ascii="等线(中文正文)" w:hAnsi="等线(中文正文)" w:cs="等线(中文正文)" w:eastAsia="等线(中文正文)"/>
          <w:b w:val="false"/>
          <w:i w:val="false"/>
          <w:sz w:val="20"/>
        </w:rPr>
        <w:t/>
      </w:r>
    </w:p>
    <w:p>
      <w:pPr>
        <w:pStyle w:val="ab"/>
        <w:numPr>
          <w:numId w:val="14"/>
        </w:numPr>
      </w:pPr>
      <w:r>
        <w:t>01:00:53 估值变化与成长阶段的关系探讨</w:t>
      </w:r>
    </w:p>
    <w:p>
      <w:r>
        <w:rPr>
          <w:rFonts w:ascii="等线(中文正文)" w:hAnsi="等线(中文正文)" w:cs="等线(中文正文)" w:eastAsia="等线(中文正文)"/>
          <w:b w:val="false"/>
          <w:i w:val="false"/>
          <w:sz w:val="20"/>
        </w:rPr>
        <w:t>对话围绕企业估值变化展开，指出随着成长阶段的转变，高估值倍数难以重现。以老板电器为例，其估值从成长期的25-30倍降至当前的10倍左右，表明成长阶段不同导致估值差异，未来实现高估值面临挑战。</w:t>
      </w:r>
    </w:p>
    <w:p>
      <w:r>
        <w:rPr>
          <w:rFonts w:ascii="等线(中文正文)" w:hAnsi="等线(中文正文)" w:cs="等线(中文正文)" w:eastAsia="等线(中文正文)"/>
          <w:b w:val="false"/>
          <w:i w:val="false"/>
          <w:sz w:val="20"/>
        </w:rPr>
        <w:t/>
      </w:r>
    </w:p>
    <w:p>
      <w:pPr>
        <w:pStyle w:val="ab"/>
        <w:numPr>
          <w:numId w:val="15"/>
        </w:numPr>
      </w:pPr>
      <w:r>
        <w:t>01:01:27 小家电行业增长困境与研究挑战</w:t>
      </w:r>
    </w:p>
    <w:p>
      <w:r>
        <w:rPr>
          <w:rFonts w:ascii="等线(中文正文)" w:hAnsi="等线(中文正文)" w:cs="等线(中文正文)" w:eastAsia="等线(中文正文)"/>
          <w:b w:val="false"/>
          <w:i w:val="false"/>
          <w:sz w:val="20"/>
        </w:rPr>
        <w:t>小家电行业受到供给创造需求逻辑影响，与化妆品、宠物产品相似，主要依赖线上渠道，面临流量投放等考验。由于细分产品众多，研究难度大，且成长周期短，除非有爆款单品，否则难以推荐综合型企业。2019-2022年社交电商和小红书等渠道带来增长红利，疫情也刺激需求，但目前因缺乏创新和营销手段，行业进入瓶颈期，预计短期内难以实现显著增长，企业需寻求企稳或正增长路径。</w:t>
      </w:r>
    </w:p>
    <w:p>
      <w:r>
        <w:rPr>
          <w:rFonts w:ascii="等线(中文正文)" w:hAnsi="等线(中文正文)" w:cs="等线(中文正文)" w:eastAsia="等线(中文正文)"/>
          <w:b w:val="false"/>
          <w:i w:val="false"/>
          <w:sz w:val="20"/>
        </w:rPr>
        <w:t/>
      </w:r>
    </w:p>
    <w:p>
      <w:pPr>
        <w:pStyle w:val="ab"/>
        <w:numPr>
          <w:numId w:val="16"/>
        </w:numPr>
      </w:pPr>
      <w:r>
        <w:t>01:04:08 成长性行业投资策略与估值风险</w:t>
      </w:r>
    </w:p>
    <w:p>
      <w:r>
        <w:rPr>
          <w:rFonts w:ascii="等线(中文正文)" w:hAnsi="等线(中文正文)" w:cs="等线(中文正文)" w:eastAsia="等线(中文正文)"/>
          <w:b w:val="false"/>
          <w:i w:val="false"/>
          <w:sz w:val="20"/>
        </w:rPr>
        <w:t>讨论了清洁科技等成长性行业在投资时需关注的竞争格局和估值风险，以石头科技为例，阐述了从高估到理性估值的周期性变化，强调了合理评估成长性与业绩的重要性，适用于白电、黑电、厨电、小家电及新兴科技产品领域。</w:t>
      </w:r>
    </w:p>
    <w:p>
      <w:r>
        <w:rPr>
          <w:rFonts w:ascii="等线(中文正文)" w:hAnsi="等线(中文正文)" w:cs="等线(中文正文)" w:eastAsia="等线(中文正文)"/>
          <w:b w:val="false"/>
          <w:i w:val="false"/>
          <w:sz w:val="20"/>
        </w:rPr>
        <w:t/>
      </w:r>
    </w:p>
    <w:p>
      <w:pPr>
        <w:pStyle w:val="ab"/>
        <w:numPr>
          <w:numId w:val="17"/>
        </w:numPr>
      </w:pPr>
      <w:r>
        <w:t>01:06:53 黄金珠宝行业转型与市场变化分析</w:t>
      </w:r>
    </w:p>
    <w:p>
      <w:r>
        <w:rPr>
          <w:rFonts w:ascii="等线(中文正文)" w:hAnsi="等线(中文正文)" w:cs="等线(中文正文)" w:eastAsia="等线(中文正文)"/>
          <w:b w:val="false"/>
          <w:i w:val="false"/>
          <w:sz w:val="20"/>
        </w:rPr>
        <w:t>报告探讨了黄金珠宝行业自2021年以来从渠道时代转向产品时代的转型，指出金价上涨导致黄金首饰销量下滑，但工艺进步和设计创新提升了产品吸引力。行业正经历闭店潮，龙头及地方性企业均受影响，预计下半年趋势将有所收窄。黄金在珠宝市场的份额持续扩大，消费者对高溢价黄金产品的支付意愿增强。</w:t>
      </w:r>
    </w:p>
    <w:p>
      <w:r>
        <w:rPr>
          <w:rFonts w:ascii="等线(中文正文)" w:hAnsi="等线(中文正文)" w:cs="等线(中文正文)" w:eastAsia="等线(中文正文)"/>
          <w:b w:val="false"/>
          <w:i w:val="false"/>
          <w:sz w:val="20"/>
        </w:rPr>
        <w:t/>
      </w:r>
    </w:p>
    <w:p>
      <w:pPr>
        <w:pStyle w:val="ab"/>
        <w:numPr>
          <w:numId w:val="18"/>
        </w:numPr>
      </w:pPr>
      <w:r>
        <w:t>01:12:38 金价波动对黄金珠宝行业影响分析</w:t>
      </w:r>
    </w:p>
    <w:p>
      <w:r>
        <w:rPr>
          <w:rFonts w:ascii="等线(中文正文)" w:hAnsi="等线(中文正文)" w:cs="等线(中文正文)" w:eastAsia="等线(中文正文)"/>
          <w:b w:val="false"/>
          <w:i w:val="false"/>
          <w:sz w:val="20"/>
        </w:rPr>
        <w:t>讨论了金价波动对黄金珠宝行业不同渠道和产品类别影响，指出金价与销量呈负相关，分析了一口价类产品在金价上涨时的优越表现，强调产品结构和渠道结构对业绩弹性的重要性，并提及出海作为行业增长的新方向。</w:t>
      </w:r>
    </w:p>
    <w:p>
      <w:r>
        <w:rPr>
          <w:rFonts w:ascii="等线(中文正文)" w:hAnsi="等线(中文正文)" w:cs="等线(中文正文)" w:eastAsia="等线(中文正文)"/>
          <w:b w:val="false"/>
          <w:i w:val="false"/>
          <w:sz w:val="20"/>
        </w:rPr>
        <w:t/>
      </w:r>
    </w:p>
    <w:p>
      <w:pPr>
        <w:pStyle w:val="ab"/>
        <w:numPr>
          <w:numId w:val="19"/>
        </w:numPr>
      </w:pPr>
      <w:r>
        <w:t>01:18:39 家居板块现状与未来趋势分析</w:t>
      </w:r>
    </w:p>
    <w:p>
      <w:r>
        <w:rPr>
          <w:rFonts w:ascii="等线(中文正文)" w:hAnsi="等线(中文正文)" w:cs="等线(中文正文)" w:eastAsia="等线(中文正文)"/>
          <w:b w:val="false"/>
          <w:i w:val="false"/>
          <w:sz w:val="20"/>
        </w:rPr>
        <w:t>对话深入探讨了内销家居板块的现状与未来发展方向，指出家居行业受地产影响滞后，目前处于下行周期，但软体家具因存量房更新需求及国补政策影响表现优于定制家具。行业正从装修转向焕新，重点挖掘二手房和翻新市场，龙头公司展现经营韧性。未来家居板块行情可能在地产政策调整和行业低谷时显现，需关注地产前端指标变化及政策对估值的修复作用。</w:t>
      </w:r>
    </w:p>
    <w:p>
      <w:r>
        <w:rPr>
          <w:rFonts w:ascii="等线(中文正文)" w:hAnsi="等线(中文正文)" w:cs="等线(中文正文)" w:eastAsia="等线(中文正文)"/>
          <w:b w:val="false"/>
          <w:i w:val="false"/>
          <w:sz w:val="20"/>
        </w:rPr>
        <w:t/>
      </w:r>
    </w:p>
    <w:p>
      <w:pPr>
        <w:pStyle w:val="ab"/>
        <w:numPr>
          <w:numId w:val="20"/>
        </w:numPr>
      </w:pPr>
      <w:r>
        <w:t>01:22:23 造纸行业供需分析与盈利预测</w:t>
      </w:r>
    </w:p>
    <w:p>
      <w:r>
        <w:rPr>
          <w:rFonts w:ascii="等线(中文正文)" w:hAnsi="等线(中文正文)" w:cs="等线(中文正文)" w:eastAsia="等线(中文正文)"/>
          <w:b w:val="false"/>
          <w:i w:val="false"/>
          <w:sz w:val="20"/>
        </w:rPr>
        <w:t>对话深入探讨了造纸行业的需求与供给现状，指出造纸行业整体需求稳定，年复合增长率略低于GDP增速，约3%。需求结构中，包装纸占比最大，特种纸和生活用纸景气度较高，而文化印刷纸因电子化趋势需求减弱。供给端分析显示，行业正从高点逐步回落，资本开支和新增产能均呈下降趋势，但头部企业仍在向成长性好的细分领域如白卡纸和生活用纸投放产能。整体来看，行业盈利能力正在缓慢修复，预计未来产能利用率将逐步提升。</w:t>
      </w:r>
    </w:p>
    <w:p>
      <w:r>
        <w:rPr>
          <w:rFonts w:ascii="等线(中文正文)" w:hAnsi="等线(中文正文)" w:cs="等线(中文正文)" w:eastAsia="等线(中文正文)"/>
          <w:b w:val="false"/>
          <w:i w:val="false"/>
          <w:sz w:val="20"/>
        </w:rPr>
        <w:t/>
      </w:r>
    </w:p>
    <w:p>
      <w:pPr>
        <w:pStyle w:val="ab"/>
        <w:numPr>
          <w:numId w:val="21"/>
        </w:numPr>
      </w:pPr>
      <w:r>
        <w:t>01:27:46 造纸与轻工出口行业分析：供需平衡与成本控制</w:t>
      </w:r>
    </w:p>
    <w:p>
      <w:r>
        <w:rPr>
          <w:rFonts w:ascii="等线(中文正文)" w:hAnsi="等线(中文正文)" w:cs="等线(中文正文)" w:eastAsia="等线(中文正文)"/>
          <w:b w:val="false"/>
          <w:i w:val="false"/>
          <w:sz w:val="20"/>
        </w:rPr>
        <w:t>对话深入探讨了造纸行业原料端变化，包括国产木浆替代进口及废纸利用，头部企业提升自给纤维能力，以及全球木浆供需周期预测。同时，分析了轻工出口链，特别是服装和家具的市场需求，指出美国地产后周期对需求的影响，关税波动常态化解，美元贬值对代工制造企业收入确认和毛利端的影响。</w:t>
      </w:r>
    </w:p>
    <w:p>
      <w:r>
        <w:rPr>
          <w:rFonts w:ascii="等线(中文正文)" w:hAnsi="等线(中文正文)" w:cs="等线(中文正文)" w:eastAsia="等线(中文正文)"/>
          <w:b w:val="false"/>
          <w:i w:val="false"/>
          <w:sz w:val="20"/>
        </w:rPr>
        <w:t/>
      </w:r>
    </w:p>
    <w:p>
      <w:pPr>
        <w:pStyle w:val="ab"/>
        <w:numPr>
          <w:numId w:val="22"/>
        </w:numPr>
      </w:pPr>
      <w:r>
        <w:t>01:36:41 投资培训框架与方法论探讨</w:t>
      </w:r>
    </w:p>
    <w:p>
      <w:r>
        <w:rPr>
          <w:rFonts w:ascii="等线(中文正文)" w:hAnsi="等线(中文正文)" w:cs="等线(中文正文)" w:eastAsia="等线(中文正文)"/>
          <w:b w:val="false"/>
          <w:i w:val="false"/>
          <w:sz w:val="20"/>
        </w:rPr>
        <w:t>对话围绕投资培训框架展开，强调从方法论角度出发，将权益研究视为系统工程，提倡认知世界、自我及投资三者关系的重要性。提及‘缘起性空’哲学思想，指出常识与投资规范的有效性随条件变化而不同，主张关注事物发展规律，如物理学原理在不同尺度上的应用，避免局限性思维。</w:t>
      </w:r>
    </w:p>
    <w:p>
      <w:r>
        <w:rPr>
          <w:rFonts w:ascii="等线(中文正文)" w:hAnsi="等线(中文正文)" w:cs="等线(中文正文)" w:eastAsia="等线(中文正文)"/>
          <w:b w:val="false"/>
          <w:i w:val="false"/>
          <w:sz w:val="20"/>
        </w:rPr>
        <w:t/>
      </w:r>
    </w:p>
    <w:p>
      <w:pPr>
        <w:pStyle w:val="ab"/>
        <w:numPr>
          <w:numId w:val="23"/>
        </w:numPr>
      </w:pPr>
      <w:r>
        <w:t>01:43:19 投资认知与二律背反：刻舟求剑的市场陷阱</w:t>
      </w:r>
    </w:p>
    <w:p>
      <w:r>
        <w:rPr>
          <w:rFonts w:ascii="等线(中文正文)" w:hAnsi="等线(中文正文)" w:cs="等线(中文正文)" w:eastAsia="等线(中文正文)"/>
          <w:b w:val="false"/>
          <w:i w:val="false"/>
          <w:sz w:val="20"/>
        </w:rPr>
        <w:t>对话深入探讨了投资领域中普遍存在的认知偏差，特别是二律背反现象及其导致的刻舟求剑问题。通过分析时间、空间和运动三个核心要素，阐述了物质世界运行规律与投资决策之间的联系。强调了正反两面解释的迷惑性，以及过度依赖历史数据和预测模型可能带来的过拟合风险。提醒投资者避免陷入刻舟求剑的误区，倡导基于当下条件的客观认知，以更理性地面对市场波动和规律探索。</w:t>
      </w:r>
    </w:p>
    <w:p>
      <w:r>
        <w:rPr>
          <w:rFonts w:ascii="等线(中文正文)" w:hAnsi="等线(中文正文)" w:cs="等线(中文正文)" w:eastAsia="等线(中文正文)"/>
          <w:b w:val="false"/>
          <w:i w:val="false"/>
          <w:sz w:val="20"/>
        </w:rPr>
        <w:t/>
      </w:r>
    </w:p>
    <w:p>
      <w:pPr>
        <w:pStyle w:val="ab"/>
        <w:numPr>
          <w:numId w:val="24"/>
        </w:numPr>
      </w:pPr>
      <w:r>
        <w:t>01:48:28 认识世界：从数学与哲学角度探讨因果分析与系统不完备性</w:t>
      </w:r>
    </w:p>
    <w:p>
      <w:r>
        <w:rPr>
          <w:rFonts w:ascii="等线(中文正文)" w:hAnsi="等线(中文正文)" w:cs="等线(中文正文)" w:eastAsia="等线(中文正文)"/>
          <w:b w:val="false"/>
          <w:i w:val="false"/>
          <w:sz w:val="20"/>
        </w:rPr>
        <w:t>对话探讨了通过数学和哲学视角认识世界的方法，强调了线性外推、归因分析、逻辑归纳等工具在理解因果关系中的作用。特别提到了概率论与统计分析的重要性，以及哥德尔不完备定理对系统自洽性的挑战，指出在面对认知体系受到冲击时，应适应变化并减少系统中的bug，而非追求完美。</w:t>
      </w:r>
    </w:p>
    <w:p>
      <w:r>
        <w:rPr>
          <w:rFonts w:ascii="等线(中文正文)" w:hAnsi="等线(中文正文)" w:cs="等线(中文正文)" w:eastAsia="等线(中文正文)"/>
          <w:b w:val="false"/>
          <w:i w:val="false"/>
          <w:sz w:val="20"/>
        </w:rPr>
        <w:t/>
      </w:r>
    </w:p>
    <w:p>
      <w:pPr>
        <w:pStyle w:val="ab"/>
        <w:numPr>
          <w:numId w:val="25"/>
        </w:numPr>
      </w:pPr>
      <w:r>
        <w:t>01:52:57 认知世界与自我：投资心理学与市场策略</w:t>
      </w:r>
    </w:p>
    <w:p>
      <w:r>
        <w:rPr>
          <w:rFonts w:ascii="等线(中文正文)" w:hAnsi="等线(中文正文)" w:cs="等线(中文正文)" w:eastAsia="等线(中文正文)"/>
          <w:b w:val="false"/>
          <w:i w:val="false"/>
          <w:sz w:val="20"/>
        </w:rPr>
        <w:t>对话深入探讨了认知世界与自我在投资决策中的重要性，指出哥德尔不完备定理、统计学原理与人性的反差在资本市场中的应用。强调了股市走势的非正态分布特性，投资模型如CAPM的工具性，以及反人性策略在快速反馈市场中的必要性。此外，还分析了风险厌恶与收益偏好错配导致的市场周期，以及竞争策略与自然法则的不匹配。最后，对比了美股、港股与A股对成长、回报与周期的不同侧重，揭示了市场发展背后的逻辑。</w:t>
      </w:r>
    </w:p>
    <w:p>
      <w:r>
        <w:rPr>
          <w:rFonts w:ascii="等线(中文正文)" w:hAnsi="等线(中文正文)" w:cs="等线(中文正文)" w:eastAsia="等线(中文正文)"/>
          <w:b w:val="false"/>
          <w:i w:val="false"/>
          <w:sz w:val="20"/>
        </w:rPr>
        <w:t/>
      </w:r>
    </w:p>
    <w:p>
      <w:pPr>
        <w:pStyle w:val="ab"/>
        <w:numPr>
          <w:numId w:val="26"/>
        </w:numPr>
      </w:pPr>
      <w:r>
        <w:t>01:56:35 财务分析与公司治理：理解商业模式与人性的关键</w:t>
      </w:r>
    </w:p>
    <w:p>
      <w:r>
        <w:rPr>
          <w:rFonts w:ascii="等线(中文正文)" w:hAnsi="等线(中文正文)" w:cs="等线(中文正文)" w:eastAsia="等线(中文正文)"/>
          <w:b w:val="false"/>
          <w:i w:val="false"/>
          <w:sz w:val="20"/>
        </w:rPr>
        <w:t>对话深入探讨了会计与财务分析在理解公司商业模式中的作用，强调了资产、成本和服务的概念，以及通过财务报表识别公司本质的方法。此外，还提到了公司治理在研究中的重要性，指出其复杂性源于人性的复杂，无法通过常规教材学习，需关注具体案例与人性判断。</w:t>
      </w:r>
    </w:p>
    <w:p>
      <w:r>
        <w:rPr>
          <w:rFonts w:ascii="等线(中文正文)" w:hAnsi="等线(中文正文)" w:cs="等线(中文正文)" w:eastAsia="等线(中文正文)"/>
          <w:b w:val="false"/>
          <w:i w:val="false"/>
          <w:sz w:val="20"/>
        </w:rPr>
        <w:t/>
      </w:r>
    </w:p>
    <w:p>
      <w:pPr>
        <w:pStyle w:val="ab"/>
        <w:numPr>
          <w:numId w:val="27"/>
        </w:numPr>
      </w:pPr>
      <w:r>
        <w:t>02:02:02 公司治理与人性博弈：企业经营的关键因素</w:t>
      </w:r>
    </w:p>
    <w:p>
      <w:r>
        <w:rPr>
          <w:rFonts w:ascii="等线(中文正文)" w:hAnsi="等线(中文正文)" w:cs="等线(中文正文)" w:eastAsia="等线(中文正文)"/>
          <w:b w:val="false"/>
          <w:i w:val="false"/>
          <w:sz w:val="20"/>
        </w:rPr>
        <w:t>对话深入探讨了公司治理中人性因素的重要性，强调了在利益分配、管理决策等环节如何通过博弈论实现均衡与妥协，达到公司整体利益最大化。通过分析经典案例和企业事件，如管理者代际传承、股权激励等，指出充分认知概率事件、会计体系及人性对于提升决策质量的必要性。</w:t>
      </w:r>
    </w:p>
    <w:p>
      <w:r>
        <w:rPr>
          <w:rFonts w:ascii="等线(中文正文)" w:hAnsi="等线(中文正文)" w:cs="等线(中文正文)" w:eastAsia="等线(中文正文)"/>
          <w:b w:val="false"/>
          <w:i w:val="false"/>
          <w:sz w:val="20"/>
        </w:rPr>
        <w:t/>
      </w:r>
    </w:p>
    <w:p>
      <w:pPr>
        <w:pStyle w:val="a7"/>
      </w:pPr>
      <w:r>
        <w:t>发言总结</w:t>
      </w:r>
    </w:p>
    <w:p>
      <w:pPr>
        <w:pStyle w:val="ab"/>
        <w:numPr>
          <w:numId w:val="28"/>
        </w:numPr>
      </w:pPr>
      <w:r>
        <w:t>发言人1</w:t>
      </w:r>
    </w:p>
    <w:p>
      <w:r>
        <w:rPr>
          <w:rFonts w:ascii="等线(中文正文)" w:hAnsi="等线(中文正文)" w:cs="等线(中文正文)" w:eastAsia="等线(中文正文)"/>
          <w:b w:val="false"/>
          <w:i w:val="false"/>
          <w:sz w:val="20"/>
        </w:rPr>
        <w:t>首先强调了金价上涨对特定行业如黄金珠宝公司的影响，指出业绩弹性大、一口价占比高和产品差异化明显的公司更受投资者青睐。同时，分析了金价波动对克重类产品的影响，以及投资者在选择标的时追求业绩增长确定性的倾向。他还探讨了轻工板块，特别是造纸行业和轻工出口链的动态，指出了周期性行业中的供需变化、盈利波动和出口链的多元化需求，强调了产能投放、原料成本控制和竞争格局优化的重要性。他强调了结合市场动态进行深度研究和灵活应对的重要性，并倡导投资者跳出常规，利用长期视角和深度研究找到真正的投资机会。此外，他还明确了会议的风险提示和免责声明，强调内容不构成投资建议，投资者需根据自身情况自主做出决策，并提醒注意投资风险。最后，他介绍了会议的组织结构和分享内容，从食品饮料的研究框架入手，涵盖了行业的上游、中游和下游，以及代糖行业的发展和食品添加剂等具体案例。</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问：在本次会议上，参会者是否可以制作和转发会议纪要？</w:t>
      </w:r>
    </w:p>
    <w:p>
      <w:r>
        <w:rPr>
          <w:rFonts w:ascii="等线(中文正文)" w:hAnsi="等线(中文正文)" w:cs="等线(中文正文)" w:eastAsia="等线(中文正文)"/>
          <w:b w:val="false"/>
          <w:i w:val="false"/>
          <w:sz w:val="20"/>
        </w:rPr>
        <w:t>发言人1 答：不可以，参会者不得制作包括文字、纪要、录音、录像、截屏等形式的会议纪要，并对外转发给其他个人或机构。</w:t>
      </w:r>
    </w:p>
    <w:p>
      <w:r>
        <w:rPr>
          <w:rFonts w:ascii="等线(中文正文)" w:hAnsi="等线(中文正文)" w:cs="等线(中文正文)" w:eastAsia="等线(中文正文)"/>
          <w:b w:val="false"/>
          <w:i w:val="false"/>
          <w:sz w:val="20"/>
        </w:rPr>
        <w:t/>
      </w:r>
    </w:p>
    <w:p>
      <w:pPr>
        <w:pStyle w:val="ab"/>
      </w:pPr>
      <w:r>
        <w:t>发言人1 问：本次会议内容是否构成对参会者的投资建议，中信建投对会议内容的准确性有何保证？</w:t>
      </w:r>
    </w:p>
    <w:p>
      <w:r>
        <w:rPr>
          <w:rFonts w:ascii="等线(中文正文)" w:hAnsi="等线(中文正文)" w:cs="等线(中文正文)" w:eastAsia="等线(中文正文)"/>
          <w:b w:val="false"/>
          <w:i w:val="false"/>
          <w:sz w:val="20"/>
        </w:rPr>
        <w:t>发言人1 答：本次会议内容不构成对参会者的投资建议，中信建投不对会议内容的准确性、时效性和完整性作任何保证。</w:t>
      </w:r>
    </w:p>
    <w:p>
      <w:r>
        <w:rPr>
          <w:rFonts w:ascii="等线(中文正文)" w:hAnsi="等线(中文正文)" w:cs="等线(中文正文)" w:eastAsia="等线(中文正文)"/>
          <w:b w:val="false"/>
          <w:i w:val="false"/>
          <w:sz w:val="20"/>
        </w:rPr>
        <w:t/>
      </w:r>
    </w:p>
    <w:p>
      <w:pPr>
        <w:pStyle w:val="ab"/>
      </w:pPr>
      <w:r>
        <w:t>发言人1 问：中信建投在法律法规允许范围内，可能持有并交易本次会议提及的公司股份或其他财产权益吗？</w:t>
      </w:r>
    </w:p>
    <w:p>
      <w:r>
        <w:rPr>
          <w:rFonts w:ascii="等线(中文正文)" w:hAnsi="等线(中文正文)" w:cs="等线(中文正文)" w:eastAsia="等线(中文正文)"/>
          <w:b w:val="false"/>
          <w:i w:val="false"/>
          <w:sz w:val="20"/>
        </w:rPr>
        <w:t>发言人1 答：在法律法规及监管规定允许的范围内，中信建投确实可能持有并交易本次会议提及的公司股份或其他财产权益。</w:t>
      </w:r>
    </w:p>
    <w:p>
      <w:r>
        <w:rPr>
          <w:rFonts w:ascii="等线(中文正文)" w:hAnsi="等线(中文正文)" w:cs="等线(中文正文)" w:eastAsia="等线(中文正文)"/>
          <w:b w:val="false"/>
          <w:i w:val="false"/>
          <w:sz w:val="20"/>
        </w:rPr>
        <w:t/>
      </w:r>
    </w:p>
    <w:p>
      <w:pPr>
        <w:pStyle w:val="ab"/>
      </w:pPr>
      <w:r>
        <w:t>发言人1 问：食品饮料行业的研究范围具体包括哪些细分赛道？</w:t>
      </w:r>
    </w:p>
    <w:p>
      <w:r>
        <w:rPr>
          <w:rFonts w:ascii="等线(中文正文)" w:hAnsi="等线(中文正文)" w:cs="等线(中文正文)" w:eastAsia="等线(中文正文)"/>
          <w:b w:val="false"/>
          <w:i w:val="false"/>
          <w:sz w:val="20"/>
        </w:rPr>
        <w:t>发言人1 答：食品饮料行业的研究范围不仅包含中游的品牌型公司，如白酒、饮料、乳制品、调味品等，还涵盖了上游的种植原料、食品加工配料以及下游的零食量贩、零售连锁变革等业态。</w:t>
      </w:r>
    </w:p>
    <w:p>
      <w:r>
        <w:rPr>
          <w:rFonts w:ascii="等线(中文正文)" w:hAnsi="等线(中文正文)" w:cs="等线(中文正文)" w:eastAsia="等线(中文正文)"/>
          <w:b w:val="false"/>
          <w:i w:val="false"/>
          <w:sz w:val="20"/>
        </w:rPr>
        <w:t/>
      </w:r>
    </w:p>
    <w:p>
      <w:pPr>
        <w:pStyle w:val="ab"/>
      </w:pPr>
      <w:r>
        <w:t>发言人1 问：食品饮料研究框架的共性和个性体现在哪些方面？</w:t>
      </w:r>
    </w:p>
    <w:p>
      <w:r>
        <w:rPr>
          <w:rFonts w:ascii="等线(中文正文)" w:hAnsi="等线(中文正文)" w:cs="等线(中文正文)" w:eastAsia="等线(中文正文)"/>
          <w:b w:val="false"/>
          <w:i w:val="false"/>
          <w:sz w:val="20"/>
        </w:rPr>
        <w:t>发言人1 答：共性体现在无论上游、中游还是下游，都需要分析收入规模、盈利能力、行业空间、竞争格局等；而个性则在于不同赛道间存在显著差异，例如白酒作为to b生意的独特性，以及其上游驱动下游的特点。</w:t>
      </w:r>
    </w:p>
    <w:p>
      <w:r>
        <w:rPr>
          <w:rFonts w:ascii="等线(中文正文)" w:hAnsi="等线(中文正文)" w:cs="等线(中文正文)" w:eastAsia="等线(中文正文)"/>
          <w:b w:val="false"/>
          <w:i w:val="false"/>
          <w:sz w:val="20"/>
        </w:rPr>
        <w:t/>
      </w:r>
    </w:p>
    <w:p>
      <w:pPr>
        <w:pStyle w:val="ab"/>
      </w:pPr>
      <w:r>
        <w:t>发言人1 问：白酒研究框架有何独特之处？</w:t>
      </w:r>
    </w:p>
    <w:p>
      <w:r>
        <w:rPr>
          <w:rFonts w:ascii="等线(中文正文)" w:hAnsi="等线(中文正文)" w:cs="等线(中文正文)" w:eastAsia="等线(中文正文)"/>
          <w:b w:val="false"/>
          <w:i w:val="false"/>
          <w:sz w:val="20"/>
        </w:rPr>
        <w:t>发言人1 答：白酒研究框架独特在于它是食品饮料中单独的一个研究框架，其特性表现为to b属性较强，主要消费群体为企业和政府；同时，白酒行业受上游影响较大，且在行业发展中呈现出不同的周期性特征。</w:t>
      </w:r>
    </w:p>
    <w:p>
      <w:r>
        <w:rPr>
          <w:rFonts w:ascii="等线(中文正文)" w:hAnsi="等线(中文正文)" w:cs="等线(中文正文)" w:eastAsia="等线(中文正文)"/>
          <w:b w:val="false"/>
          <w:i w:val="false"/>
          <w:sz w:val="20"/>
        </w:rPr>
        <w:t/>
      </w:r>
    </w:p>
    <w:p>
      <w:pPr>
        <w:pStyle w:val="ab"/>
      </w:pPr>
      <w:r>
        <w:t>发言人1 问：白酒行业从2002年到2012年的黄金十年后，为什么进入了量平价增的白银阶段？</w:t>
      </w:r>
    </w:p>
    <w:p>
      <w:r>
        <w:rPr>
          <w:rFonts w:ascii="等线(中文正文)" w:hAnsi="等线(中文正文)" w:cs="等线(中文正文)" w:eastAsia="等线(中文正文)"/>
          <w:b w:val="false"/>
          <w:i w:val="false"/>
          <w:sz w:val="20"/>
        </w:rPr>
        <w:t>发言人1 答：进入白银阶段主要是因为人口结构变化，中国白酒的主要消费群体是35岁到60岁或35岁到65岁的人群，在达到这个年龄段后，随着工作职责加重，社交需求增加，从而带动了白酒消费。但随着80年代开始实施计划生育政策，这一目标消费人群的数量增长放缓，导致白酒行业从量价齐升的黄金期过渡到量平价增的白银期。</w:t>
      </w:r>
    </w:p>
    <w:p>
      <w:r>
        <w:rPr>
          <w:rFonts w:ascii="等线(中文正文)" w:hAnsi="等线(中文正文)" w:cs="等线(中文正文)" w:eastAsia="等线(中文正文)"/>
          <w:b w:val="false"/>
          <w:i w:val="false"/>
          <w:sz w:val="20"/>
        </w:rPr>
        <w:t/>
      </w:r>
    </w:p>
    <w:p>
      <w:pPr>
        <w:pStyle w:val="ab"/>
      </w:pPr>
      <w:r>
        <w:t>发言人1 问：2012年到2016年白酒行业出现了巨幅下滑，这是为什么？</w:t>
      </w:r>
    </w:p>
    <w:p>
      <w:r>
        <w:rPr>
          <w:rFonts w:ascii="等线(中文正文)" w:hAnsi="等线(中文正文)" w:cs="等线(中文正文)" w:eastAsia="等线(中文正文)"/>
          <w:b w:val="false"/>
          <w:i w:val="false"/>
          <w:sz w:val="20"/>
        </w:rPr>
        <w:t>发言人1 答：这次下滑主要是由于行业库存周期的波动叠加政策原因造成的。在大阶段中存在小周期，即库存周期。当行业需求增速放缓时，企业会增加供给，导致供给增速大于需求增速，进而出现批价下跌。政策上，限三公消费和8项规定实施后，政府购买大幅减少，需求端骤然下降约40%-50%，而供给并未立即减少，造成批价下滑，随后企业采取控量保价措施，引发行业波动。</w:t>
      </w:r>
    </w:p>
    <w:p>
      <w:r>
        <w:rPr>
          <w:rFonts w:ascii="等线(中文正文)" w:hAnsi="等线(中文正文)" w:cs="等线(中文正文)" w:eastAsia="等线(中文正文)"/>
          <w:b w:val="false"/>
          <w:i w:val="false"/>
          <w:sz w:val="20"/>
        </w:rPr>
        <w:t/>
      </w:r>
    </w:p>
    <w:p>
      <w:pPr>
        <w:pStyle w:val="ab"/>
      </w:pPr>
      <w:r>
        <w:t>发言人1 问：除了产业周期和库存周期，还有哪些周期影响白酒行业？</w:t>
      </w:r>
    </w:p>
    <w:p>
      <w:r>
        <w:rPr>
          <w:rFonts w:ascii="等线(中文正文)" w:hAnsi="等线(中文正文)" w:cs="等线(中文正文)" w:eastAsia="等线(中文正文)"/>
          <w:b w:val="false"/>
          <w:i w:val="false"/>
          <w:sz w:val="20"/>
        </w:rPr>
        <w:t>发言人1 答：在产业周期和库存周期之外，还有产品周期和企业家周期。产品周期是指产品在其生命周期中会有成长期、成熟期等阶段，即使大单品公司也需要通过控制产品渠道利润来保持其市场地位，否则将进入衰退期。企业家周期则涉及企业领导变更、治理结构变化、股权激励等因素带来的企业内部活力变化。</w:t>
      </w:r>
    </w:p>
    <w:p>
      <w:r>
        <w:rPr>
          <w:rFonts w:ascii="等线(中文正文)" w:hAnsi="等线(中文正文)" w:cs="等线(中文正文)" w:eastAsia="等线(中文正文)"/>
          <w:b w:val="false"/>
          <w:i w:val="false"/>
          <w:sz w:val="20"/>
        </w:rPr>
        <w:t/>
      </w:r>
    </w:p>
    <w:p>
      <w:pPr>
        <w:pStyle w:val="ab"/>
      </w:pPr>
      <w:r>
        <w:t>发言人1 问：在白酒行业的复苏过程中，哪些企业或产品率先复苏并带动股价上涨？</w:t>
      </w:r>
    </w:p>
    <w:p>
      <w:r>
        <w:rPr>
          <w:rFonts w:ascii="等线(中文正文)" w:hAnsi="等线(中文正文)" w:cs="等线(中文正文)" w:eastAsia="等线(中文正文)"/>
          <w:b w:val="false"/>
          <w:i w:val="false"/>
          <w:sz w:val="20"/>
        </w:rPr>
        <w:t>发言人1 答：在白酒行业复苏初期，茅台是率先放量并引领股价上涨的产品。当行业复苏信号显现时，茅台出厂价维持稳定，而经销商利润空间扩大，动销情况良好，这被认为是行业复苏的先行指标。随后，在棚改货币化和经济回暖的影响下，茅台等全国名酒以及部分区域白酒企业如汾酒、古井等也相继实现业绩增长，板块化和全国发展的机会显现。</w:t>
      </w:r>
    </w:p>
    <w:p>
      <w:r>
        <w:rPr>
          <w:rFonts w:ascii="等线(中文正文)" w:hAnsi="等线(中文正文)" w:cs="等线(中文正文)" w:eastAsia="等线(中文正文)"/>
          <w:b w:val="false"/>
          <w:i w:val="false"/>
          <w:sz w:val="20"/>
        </w:rPr>
        <w:t/>
      </w:r>
    </w:p>
    <w:p>
      <w:pPr>
        <w:pStyle w:val="ab"/>
      </w:pPr>
      <w:r>
        <w:t>发言人1 问：乳制品深加工方面有哪些发展趋势？</w:t>
      </w:r>
    </w:p>
    <w:p>
      <w:r>
        <w:rPr>
          <w:rFonts w:ascii="等线(中文正文)" w:hAnsi="等线(中文正文)" w:cs="等线(中文正文)" w:eastAsia="等线(中文正文)"/>
          <w:b w:val="false"/>
          <w:i w:val="false"/>
          <w:sz w:val="20"/>
        </w:rPr>
        <w:t>发言人1 答：乳制品深加工发展迅速，例如稀奶油、奶酪、黄油以及乳清蛋白等产品。其中，乳清蛋白被广泛用于制作蛋白粉，在茶饮店的拿铁和茉莉奶白饮品中也常能看到其身影。</w:t>
      </w:r>
    </w:p>
    <w:p>
      <w:r>
        <w:rPr>
          <w:rFonts w:ascii="等线(中文正文)" w:hAnsi="等线(中文正文)" w:cs="等线(中文正文)" w:eastAsia="等线(中文正文)"/>
          <w:b w:val="false"/>
          <w:i w:val="false"/>
          <w:sz w:val="20"/>
        </w:rPr>
        <w:t/>
      </w:r>
    </w:p>
    <w:p>
      <w:pPr>
        <w:pStyle w:val="ab"/>
      </w:pPr>
      <w:r>
        <w:t>发言人1 问：如何看待海天味业在餐饮领域的数据准确性？</w:t>
      </w:r>
    </w:p>
    <w:p>
      <w:r>
        <w:rPr>
          <w:rFonts w:ascii="等线(中文正文)" w:hAnsi="等线(中文正文)" w:cs="等线(中文正文)" w:eastAsia="等线(中文正文)"/>
          <w:b w:val="false"/>
          <w:i w:val="false"/>
          <w:sz w:val="20"/>
        </w:rPr>
        <w:t>发言人1 答：海天味业作为调味品行业中的领军企业，其数据在某些时候甚至比国家统计局发布的餐饮数据还要精准，因为酱油和调味品几乎在所有餐饮场景中都有使用，其市场份额独树一帜。</w:t>
      </w:r>
    </w:p>
    <w:p>
      <w:r>
        <w:rPr>
          <w:rFonts w:ascii="等线(中文正文)" w:hAnsi="等线(中文正文)" w:cs="等线(中文正文)" w:eastAsia="等线(中文正文)"/>
          <w:b w:val="false"/>
          <w:i w:val="false"/>
          <w:sz w:val="20"/>
        </w:rPr>
        <w:t/>
      </w:r>
    </w:p>
    <w:p>
      <w:pPr>
        <w:pStyle w:val="ab"/>
      </w:pPr>
      <w:r>
        <w:t>发言人1 问：家电行业的研究框架如何划分，并有哪些代表性的稳健和成长性资产？</w:t>
      </w:r>
    </w:p>
    <w:p>
      <w:r>
        <w:rPr>
          <w:rFonts w:ascii="等线(中文正文)" w:hAnsi="等线(中文正文)" w:cs="等线(中文正文)" w:eastAsia="等线(中文正文)"/>
          <w:b w:val="false"/>
          <w:i w:val="false"/>
          <w:sz w:val="20"/>
        </w:rPr>
        <w:t>发言人1 答：家电行业研究分为两类资产：稳健资产（如白电、厨电等传统品类）和成长性资产（如清洁电器中的扫地机器人、3D打印影像设备等）。其中，稳健资产主要关注国内市场存量阶段的产品结构优化和价格上涨带来的价值提升；成长性资产则更多依赖于海外市场扩张和新技术应用带来的增长机会。</w:t>
      </w:r>
    </w:p>
    <w:p>
      <w:r>
        <w:rPr>
          <w:rFonts w:ascii="等线(中文正文)" w:hAnsi="等线(中文正文)" w:cs="等线(中文正文)" w:eastAsia="等线(中文正文)"/>
          <w:b w:val="false"/>
          <w:i w:val="false"/>
          <w:sz w:val="20"/>
        </w:rPr>
        <w:t/>
      </w:r>
    </w:p>
    <w:p>
      <w:pPr>
        <w:pStyle w:val="ab"/>
      </w:pPr>
      <w:r>
        <w:t>发言人1 问：当前白电板块的主要特点及挑战是什么？</w:t>
      </w:r>
    </w:p>
    <w:p>
      <w:r>
        <w:rPr>
          <w:rFonts w:ascii="等线(中文正文)" w:hAnsi="等线(中文正文)" w:cs="等线(中文正文)" w:eastAsia="等线(中文正文)"/>
          <w:b w:val="false"/>
          <w:i w:val="false"/>
          <w:sz w:val="20"/>
        </w:rPr>
        <w:t>发言人1 答：目前白电板块已进入存量竞争阶段，增速放缓，国内内销基本接近零增长。以旧换新政策曾在2024年带来一波增长，但长期来看，行业面临需求节奏变化而非显著增量。从基本面角度看，未来白电板块的增长看点在于产品结构优化和价格上涨带来的毛利率提升。同时，行业格局高度集中，以格力、美的、海尔为主导，二线品牌虽有阶段性的市场份额上升，但龙头企业的地位依然稳固。</w:t>
      </w:r>
    </w:p>
    <w:p>
      <w:r>
        <w:rPr>
          <w:rFonts w:ascii="等线(中文正文)" w:hAnsi="等线(中文正文)" w:cs="等线(中文正文)" w:eastAsia="等线(中文正文)"/>
          <w:b w:val="false"/>
          <w:i w:val="false"/>
          <w:sz w:val="20"/>
        </w:rPr>
        <w:t/>
      </w:r>
    </w:p>
    <w:p>
      <w:pPr>
        <w:pStyle w:val="ab"/>
      </w:pPr>
      <w:r>
        <w:t>发言人1 问：价格竞争如何影响白电行业的格局变化？</w:t>
      </w:r>
    </w:p>
    <w:p>
      <w:r>
        <w:rPr>
          <w:rFonts w:ascii="等线(中文正文)" w:hAnsi="等线(中文正文)" w:cs="等线(中文正文)" w:eastAsia="等线(中文正文)"/>
          <w:b w:val="false"/>
          <w:i w:val="false"/>
          <w:sz w:val="20"/>
        </w:rPr>
        <w:t>发言人1 答：价格竞争并非恶性竞争，而是企业通过提升效率、降低成本、优化渠道等手段实现正向循环。如美的通过DTC转型降低流通成本，从而能在不降低毛利率的前提下提高市场份额和地位。此外，中国白电企业在全球市场上具有供应链优势，研发投入较大，正逐步通过存量替代的方式拓展海外市场。</w:t>
      </w:r>
    </w:p>
    <w:p>
      <w:r>
        <w:rPr>
          <w:rFonts w:ascii="等线(中文正文)" w:hAnsi="等线(中文正文)" w:cs="等线(中文正文)" w:eastAsia="等线(中文正文)"/>
          <w:b w:val="false"/>
          <w:i w:val="false"/>
          <w:sz w:val="20"/>
        </w:rPr>
        <w:t/>
      </w:r>
    </w:p>
    <w:p>
      <w:pPr>
        <w:pStyle w:val="ab"/>
      </w:pPr>
      <w:r>
        <w:t>发言人1 问：这几年中国企业出海是否更加本土化，并且在品牌市占率上有所提升？</w:t>
      </w:r>
    </w:p>
    <w:p>
      <w:r>
        <w:rPr>
          <w:rFonts w:ascii="等线(中文正文)" w:hAnsi="等线(中文正文)" w:cs="等线(中文正文)" w:eastAsia="等线(中文正文)"/>
          <w:b w:val="false"/>
          <w:i w:val="false"/>
          <w:sz w:val="20"/>
        </w:rPr>
        <w:t>发言人1 答：是的，近几年中国企业出海的步伐加快，不再仅依赖中国本土决策，而是在各地战线前沿根据当地情况进行针对性开发和营销本土化落地。这导致了中国企业的品牌在全球范围内的市占率逐渐提高。</w:t>
      </w:r>
    </w:p>
    <w:p>
      <w:r>
        <w:rPr>
          <w:rFonts w:ascii="等线(中文正文)" w:hAnsi="等线(中文正文)" w:cs="等线(中文正文)" w:eastAsia="等线(中文正文)"/>
          <w:b w:val="false"/>
          <w:i w:val="false"/>
          <w:sz w:val="20"/>
        </w:rPr>
        <w:t/>
      </w:r>
    </w:p>
    <w:p>
      <w:pPr>
        <w:pStyle w:val="ab"/>
      </w:pPr>
      <w:r>
        <w:t>发言人1 问：在欧美成熟市场中，中国自主品牌面临什么挑战？</w:t>
      </w:r>
    </w:p>
    <w:p>
      <w:r>
        <w:rPr>
          <w:rFonts w:ascii="等线(中文正文)" w:hAnsi="等线(中文正文)" w:cs="等线(中文正文)" w:eastAsia="等线(中文正文)"/>
          <w:b w:val="false"/>
          <w:i w:val="false"/>
          <w:sz w:val="20"/>
        </w:rPr>
        <w:t>发言人1 答：在欧美等成熟市场中，由于这些市场发展较早，消费者对于品牌的偏好根深蒂固，中国自主品牌较难立即获得消费者的青睐。为此，一些白电企业通过海外收购扩张，如海尔收购GE，在海外市场形成强大的品牌影响力。</w:t>
      </w:r>
    </w:p>
    <w:p>
      <w:r>
        <w:rPr>
          <w:rFonts w:ascii="等线(中文正文)" w:hAnsi="等线(中文正文)" w:cs="等线(中文正文)" w:eastAsia="等线(中文正文)"/>
          <w:b w:val="false"/>
          <w:i w:val="false"/>
          <w:sz w:val="20"/>
        </w:rPr>
        <w:t/>
      </w:r>
    </w:p>
    <w:p>
      <w:pPr>
        <w:pStyle w:val="ab"/>
      </w:pPr>
      <w:r>
        <w:t>发言人1 问：对于白电行业，未来的利润率和增速情况如何？</w:t>
      </w:r>
    </w:p>
    <w:p>
      <w:r>
        <w:rPr>
          <w:rFonts w:ascii="等线(中文正文)" w:hAnsi="等线(中文正文)" w:cs="等线(中文正文)" w:eastAsia="等线(中文正文)"/>
          <w:b w:val="false"/>
          <w:i w:val="false"/>
          <w:sz w:val="20"/>
        </w:rPr>
        <w:t>发言人1 答：从基本面看，国内白银市场稳定，海外还有增量空间，整体结构上升，因此白电公司的利润率预计会小幅度上升，利润增速可能比收入增速更快。</w:t>
      </w:r>
    </w:p>
    <w:p>
      <w:r>
        <w:rPr>
          <w:rFonts w:ascii="等线(中文正文)" w:hAnsi="等线(中文正文)" w:cs="等线(中文正文)" w:eastAsia="等线(中文正文)"/>
          <w:b w:val="false"/>
          <w:i w:val="false"/>
          <w:sz w:val="20"/>
        </w:rPr>
        <w:t/>
      </w:r>
    </w:p>
    <w:p>
      <w:pPr>
        <w:pStyle w:val="ab"/>
      </w:pPr>
      <w:r>
        <w:t>发言人1 问：为什么海外投资者对白电龙头公司感兴趣？</w:t>
      </w:r>
    </w:p>
    <w:p>
      <w:r>
        <w:rPr>
          <w:rFonts w:ascii="等线(中文正文)" w:hAnsi="等线(中文正文)" w:cs="等线(中文正文)" w:eastAsia="等线(中文正文)"/>
          <w:b w:val="false"/>
          <w:i w:val="false"/>
          <w:sz w:val="20"/>
        </w:rPr>
        <w:t>发言人1 答：这类公司具有稳定的业绩和较高的股息支付率，类似红利资产属性，吸引了长线资金投资。例如，美的股价即使在AI趋势下仍保持强劲，获得保险资金青睐，因其红利属性和稳健的资产特性。</w:t>
      </w:r>
    </w:p>
    <w:p>
      <w:r>
        <w:rPr>
          <w:rFonts w:ascii="等线(中文正文)" w:hAnsi="等线(中文正文)" w:cs="等线(中文正文)" w:eastAsia="等线(中文正文)"/>
          <w:b w:val="false"/>
          <w:i w:val="false"/>
          <w:sz w:val="20"/>
        </w:rPr>
        <w:t/>
      </w:r>
    </w:p>
    <w:p>
      <w:pPr>
        <w:pStyle w:val="ab"/>
      </w:pPr>
      <w:r>
        <w:t>发言人1 问：黑电行业如何实现增长，特别是在出海过程中的逻辑是什么？</w:t>
      </w:r>
    </w:p>
    <w:p>
      <w:r>
        <w:rPr>
          <w:rFonts w:ascii="等线(中文正文)" w:hAnsi="等线(中文正文)" w:cs="等线(中文正文)" w:eastAsia="等线(中文正文)"/>
          <w:b w:val="false"/>
          <w:i w:val="false"/>
          <w:sz w:val="20"/>
        </w:rPr>
        <w:t>发言人1 答：黑电行业增长的核心逻辑在于抢夺其他品牌的市场份额，特别是韩国三星和LG的份额。通过提升产品结构，尤其是推广Mini LED技术，实现画质媲美OLED的同时降低成本，从而在海外市场形成差异化竞争，进而提升利润率和市占率。</w:t>
      </w:r>
    </w:p>
    <w:p>
      <w:r>
        <w:rPr>
          <w:rFonts w:ascii="等线(中文正文)" w:hAnsi="等线(中文正文)" w:cs="等线(中文正文)" w:eastAsia="等线(中文正文)"/>
          <w:b w:val="false"/>
          <w:i w:val="false"/>
          <w:sz w:val="20"/>
        </w:rPr>
        <w:t/>
      </w:r>
    </w:p>
    <w:p>
      <w:pPr>
        <w:pStyle w:val="ab"/>
      </w:pPr>
      <w:r>
        <w:t>发言人1 问：厨电行业的投资逻辑及影响因素是什么？</w:t>
      </w:r>
    </w:p>
    <w:p>
      <w:r>
        <w:rPr>
          <w:rFonts w:ascii="等线(中文正文)" w:hAnsi="等线(中文正文)" w:cs="等线(中文正文)" w:eastAsia="等线(中文正文)"/>
          <w:b w:val="false"/>
          <w:i w:val="false"/>
          <w:sz w:val="20"/>
        </w:rPr>
        <w:t>发言人1 答：厨电行业投资逻辑更多与地产后周期相关，关注地产政策变化对估值的影响，而非基本面的立竿见影效果。目前，由于地产红利减弱及政策未带来显著新利好，厨电行业成长性减弱，但品类配套升级仍为其带来新的增长点。</w:t>
      </w:r>
    </w:p>
    <w:p>
      <w:r>
        <w:rPr>
          <w:rFonts w:ascii="等线(中文正文)" w:hAnsi="等线(中文正文)" w:cs="等线(中文正文)" w:eastAsia="等线(中文正文)"/>
          <w:b w:val="false"/>
          <w:i w:val="false"/>
          <w:sz w:val="20"/>
        </w:rPr>
        <w:t/>
      </w:r>
    </w:p>
    <w:p>
      <w:pPr>
        <w:pStyle w:val="ab"/>
      </w:pPr>
      <w:r>
        <w:t>发言人1 问：小家电行业现状及未来发展趋势如何？</w:t>
      </w:r>
    </w:p>
    <w:p>
      <w:r>
        <w:rPr>
          <w:rFonts w:ascii="等线(中文正文)" w:hAnsi="等线(中文正文)" w:cs="等线(中文正文)" w:eastAsia="等线(中文正文)"/>
          <w:b w:val="false"/>
          <w:i w:val="false"/>
          <w:sz w:val="20"/>
        </w:rPr>
        <w:t>发言人1 答：小家电行业过去得益于社交电商等渠道红利实现一波增长，但现在面临瓶颈期，缺乏新的单品创新和营销方式突破，导致整体增长放缓。未来研究小家电行业时，可能需要关注具备较强流量投放能力和新品研发优势的企业，以适应其在线上渠道为主的研究特点。</w:t>
      </w:r>
    </w:p>
    <w:p>
      <w:r>
        <w:rPr>
          <w:rFonts w:ascii="等线(中文正文)" w:hAnsi="等线(中文正文)" w:cs="等线(中文正文)" w:eastAsia="等线(中文正文)"/>
          <w:b w:val="false"/>
          <w:i w:val="false"/>
          <w:sz w:val="20"/>
        </w:rPr>
        <w:t/>
      </w:r>
    </w:p>
    <w:p>
      <w:pPr>
        <w:pStyle w:val="ab"/>
      </w:pPr>
      <w:r>
        <w:t>发言人1 问：清洁品类及科技品类的未来发展如何看待？</w:t>
      </w:r>
    </w:p>
    <w:p>
      <w:r>
        <w:rPr>
          <w:rFonts w:ascii="等线(中文正文)" w:hAnsi="等线(中文正文)" w:cs="等线(中文正文)" w:eastAsia="等线(中文正文)"/>
          <w:b w:val="false"/>
          <w:i w:val="false"/>
          <w:sz w:val="20"/>
        </w:rPr>
        <w:t>发言人1 答：清洁品类及科技品类是具有较高成长性的行业，但需要注意竞争格局不稳定可能导致业绩和估值双杀的风险。在经过一定发展阶段后，投资者能够更清晰地看到其未来成长性，并以更为合理的估值进行布局。</w:t>
      </w:r>
    </w:p>
    <w:p>
      <w:r>
        <w:rPr>
          <w:rFonts w:ascii="等线(中文正文)" w:hAnsi="等线(中文正文)" w:cs="等线(中文正文)" w:eastAsia="等线(中文正文)"/>
          <w:b w:val="false"/>
          <w:i w:val="false"/>
          <w:sz w:val="20"/>
        </w:rPr>
        <w:t/>
      </w:r>
    </w:p>
    <w:p>
      <w:pPr>
        <w:pStyle w:val="ab"/>
      </w:pPr>
      <w:r>
        <w:t>发言人1 问：石头科技的股价表现是怎样的？</w:t>
      </w:r>
    </w:p>
    <w:p>
      <w:r>
        <w:rPr>
          <w:rFonts w:ascii="等线(中文正文)" w:hAnsi="等线(中文正文)" w:cs="等线(中文正文)" w:eastAsia="等线(中文正文)"/>
          <w:b w:val="false"/>
          <w:i w:val="false"/>
          <w:sz w:val="20"/>
        </w:rPr>
        <w:t>发言人1 答：石头科技在2020年时市场对其前景非常看好，股票价格经历了一波较大涨幅，但后来由于业绩不及预期及产品迭代进入渐进式创新阶段，导致估值和业绩大幅下降，呈现了A字形的股价走势。现在，石头科技进入了一个更理性的周期，市场以更合适的价格看待其成长性。</w:t>
      </w:r>
    </w:p>
    <w:p>
      <w:r>
        <w:rPr>
          <w:rFonts w:ascii="等线(中文正文)" w:hAnsi="等线(中文正文)" w:cs="等线(中文正文)" w:eastAsia="等线(中文正文)"/>
          <w:b w:val="false"/>
          <w:i w:val="false"/>
          <w:sz w:val="20"/>
        </w:rPr>
        <w:t/>
      </w:r>
    </w:p>
    <w:p>
      <w:pPr>
        <w:pStyle w:val="ab"/>
      </w:pPr>
      <w:r>
        <w:t>发言人1 问：对于成长消费品的研究逻辑是怎样的？</w:t>
      </w:r>
    </w:p>
    <w:p>
      <w:r>
        <w:rPr>
          <w:rFonts w:ascii="等线(中文正文)" w:hAnsi="等线(中文正文)" w:cs="等线(中文正文)" w:eastAsia="等线(中文正文)"/>
          <w:b w:val="false"/>
          <w:i w:val="false"/>
          <w:sz w:val="20"/>
        </w:rPr>
        <w:t>发言人1 答：成长消费品如石头科技，在早期投资者可能过度关注其成长性，但随着业绩不及预期或空间未达预期，会经历估值下行和业绩下调阶段，之后市场会更多地关注其基本面。饮食类智能影像设备和其他新兴科技产品也可能遵循相似的发展规律。</w:t>
      </w:r>
    </w:p>
    <w:p>
      <w:r>
        <w:rPr>
          <w:rFonts w:ascii="等线(中文正文)" w:hAnsi="等线(中文正文)" w:cs="等线(中文正文)" w:eastAsia="等线(中文正文)"/>
          <w:b w:val="false"/>
          <w:i w:val="false"/>
          <w:sz w:val="20"/>
        </w:rPr>
        <w:t/>
      </w:r>
    </w:p>
    <w:p>
      <w:pPr>
        <w:pStyle w:val="ab"/>
      </w:pPr>
      <w:r>
        <w:t>发言人1 问：黄金珠宝板块的研究框架是什么？</w:t>
      </w:r>
    </w:p>
    <w:p>
      <w:r>
        <w:rPr>
          <w:rFonts w:ascii="等线(中文正文)" w:hAnsi="等线(中文正文)" w:cs="等线(中文正文)" w:eastAsia="等线(中文正文)"/>
          <w:b w:val="false"/>
          <w:i w:val="false"/>
          <w:sz w:val="20"/>
        </w:rPr>
        <w:t>发言人1 答：黄金珠宝板块自2021年开始迈入黄金饰品化的引领新阶段，产品端、渠道端和上市公司运营打法都发生了重要变化。需求方面，从以投资和婚庆礼赠为主转向部分消费级需求。行业数据显示，我国珠宝市场规模从2018年的5800亿增长至2025年接近万亿规模，其中黄金市场2025年规模约7600亿，占整个珠宝市场的70%以上，且随着金价上涨，黄金市场份额持续提升。</w:t>
      </w:r>
    </w:p>
    <w:p>
      <w:r>
        <w:rPr>
          <w:rFonts w:ascii="等线(中文正文)" w:hAnsi="等线(中文正文)" w:cs="等线(中文正文)" w:eastAsia="等线(中文正文)"/>
          <w:b w:val="false"/>
          <w:i w:val="false"/>
          <w:sz w:val="20"/>
        </w:rPr>
        <w:t/>
      </w:r>
    </w:p>
    <w:p>
      <w:pPr>
        <w:pStyle w:val="ab"/>
      </w:pPr>
      <w:r>
        <w:t>发言人1 问：渠道变化对黄金珠宝行业有何影响？</w:t>
      </w:r>
    </w:p>
    <w:p>
      <w:r>
        <w:rPr>
          <w:rFonts w:ascii="等线(中文正文)" w:hAnsi="等线(中文正文)" w:cs="等线(中文正文)" w:eastAsia="等线(中文正文)"/>
          <w:b w:val="false"/>
          <w:i w:val="false"/>
          <w:sz w:val="20"/>
        </w:rPr>
        <w:t>发言人1 答：渠道端，自2024年开始，黄金珠宝行业从渠道时代转向产品时代，出现闭店现象，预计今年下半年闭店趋势会有所收窄。工艺进步和设计创新带来了黄金产品力的快速提升，消费者对黄金产品的接受度和支付意愿增强。</w:t>
      </w:r>
    </w:p>
    <w:p>
      <w:r>
        <w:rPr>
          <w:rFonts w:ascii="等线(中文正文)" w:hAnsi="等线(中文正文)" w:cs="等线(中文正文)" w:eastAsia="等线(中文正文)"/>
          <w:b w:val="false"/>
          <w:i w:val="false"/>
          <w:sz w:val="20"/>
        </w:rPr>
        <w:t/>
      </w:r>
    </w:p>
    <w:p>
      <w:pPr>
        <w:pStyle w:val="ab"/>
      </w:pPr>
      <w:r>
        <w:t>发言人1 问：黄金首饰消费量的变化情况如何？</w:t>
      </w:r>
    </w:p>
    <w:p>
      <w:r>
        <w:rPr>
          <w:rFonts w:ascii="等线(中文正文)" w:hAnsi="等线(中文正文)" w:cs="等线(中文正文)" w:eastAsia="等线(中文正文)"/>
          <w:b w:val="false"/>
          <w:i w:val="false"/>
          <w:sz w:val="20"/>
        </w:rPr>
        <w:t>发言人1 答：黄金首饰消费量自2024年开始连续八个季度下滑，而金条和金币投资类产品则呈现量的提升态势。年度数据显示，黄金首饰类消费量占比显著下滑，而金饰类产品受金价影响较大，金价上涨导致消费者对高溢价一口价类黄金产品的支付意愿增强。</w:t>
      </w:r>
    </w:p>
    <w:p>
      <w:r>
        <w:rPr>
          <w:rFonts w:ascii="等线(中文正文)" w:hAnsi="等线(中文正文)" w:cs="等线(中文正文)" w:eastAsia="等线(中文正文)"/>
          <w:b w:val="false"/>
          <w:i w:val="false"/>
          <w:sz w:val="20"/>
        </w:rPr>
        <w:t/>
      </w:r>
    </w:p>
    <w:p>
      <w:pPr>
        <w:pStyle w:val="ab"/>
      </w:pPr>
      <w:r>
        <w:t>发言人1 问：金价如何影响黄金珠宝板块？</w:t>
      </w:r>
    </w:p>
    <w:p>
      <w:r>
        <w:rPr>
          <w:rFonts w:ascii="等线(中文正文)" w:hAnsi="等线(中文正文)" w:cs="等线(中文正文)" w:eastAsia="等线(中文正文)"/>
          <w:b w:val="false"/>
          <w:i w:val="false"/>
          <w:sz w:val="20"/>
        </w:rPr>
        <w:t>发言人1 答：金价对黄金珠宝板块有重大影响，主要体现在两个方面：一是金价与黄金饰品消费量呈明显负相关关系；二是金价增速与销量增速亦相关。其中，一口价类产品的表现优于克重类产品，在金价波动中更具业绩弹性。此外，公司还需关注产品结构和渠道结构以评估业绩弹性。</w:t>
      </w:r>
    </w:p>
    <w:p>
      <w:r>
        <w:rPr>
          <w:rFonts w:ascii="等线(中文正文)" w:hAnsi="等线(中文正文)" w:cs="等线(中文正文)" w:eastAsia="等线(中文正文)"/>
          <w:b w:val="false"/>
          <w:i w:val="false"/>
          <w:sz w:val="20"/>
        </w:rPr>
        <w:t/>
      </w:r>
    </w:p>
    <w:p>
      <w:pPr>
        <w:pStyle w:val="ab"/>
      </w:pPr>
      <w:r>
        <w:t>发言人1 问：定制家居与软体家居在当前市场环境下的表现有何差异？</w:t>
      </w:r>
    </w:p>
    <w:p>
      <w:r>
        <w:rPr>
          <w:rFonts w:ascii="等线(中文正文)" w:hAnsi="等线(中文正文)" w:cs="等线(中文正文)" w:eastAsia="等线(中文正文)"/>
          <w:b w:val="false"/>
          <w:i w:val="false"/>
          <w:sz w:val="20"/>
        </w:rPr>
        <w:t>发言人1 答：在当前房地产后周期阶段，定制家居相较于软体家居表现更为稳健，主要原因是新房占比对定制类业绩影响较大，而软体家居因新房、存量房和二手房更新需求的带动效应更为明显，尤其是在国补政策下，软体家居表现出更强的增长势头。目前行业正从装修走向焕新时代，二手房和翻新需求成为未来发展的重要方向。</w:t>
      </w:r>
    </w:p>
    <w:p>
      <w:r>
        <w:rPr>
          <w:rFonts w:ascii="等线(中文正文)" w:hAnsi="等线(中文正文)" w:cs="等线(中文正文)" w:eastAsia="等线(中文正文)"/>
          <w:b w:val="false"/>
          <w:i w:val="false"/>
          <w:sz w:val="20"/>
        </w:rPr>
        <w:t/>
      </w:r>
    </w:p>
    <w:p>
      <w:pPr>
        <w:pStyle w:val="ab"/>
      </w:pPr>
      <w:r>
        <w:t>发言人1 问：目前家居行业在整家大家居时代的主要动作及龙头公司的表现如何？</w:t>
      </w:r>
    </w:p>
    <w:p>
      <w:r>
        <w:rPr>
          <w:rFonts w:ascii="等线(中文正文)" w:hAnsi="等线(中文正文)" w:cs="等线(中文正文)" w:eastAsia="等线(中文正文)"/>
          <w:b w:val="false"/>
          <w:i w:val="false"/>
          <w:sz w:val="20"/>
        </w:rPr>
        <w:t>发言人1 答：目前家居行业正致力于整家大家居时代的转变，产品端和渠道端都需要开发新客户。在这个过程中，定制端面临较大压力，但龙头公司展现出更强的经营韧性，通过降本提效展现稳健态势。</w:t>
      </w:r>
    </w:p>
    <w:p>
      <w:r>
        <w:rPr>
          <w:rFonts w:ascii="等线(中文正文)" w:hAnsi="等线(中文正文)" w:cs="等线(中文正文)" w:eastAsia="等线(中文正文)"/>
          <w:b w:val="false"/>
          <w:i w:val="false"/>
          <w:sz w:val="20"/>
        </w:rPr>
        <w:t/>
      </w:r>
    </w:p>
    <w:p>
      <w:pPr>
        <w:pStyle w:val="ab"/>
      </w:pPr>
      <w:r>
        <w:t>发言人1 问：家居板块中有哪些细分领域表现较好，以及渠道端的变化情况是怎样的？</w:t>
      </w:r>
    </w:p>
    <w:p>
      <w:r>
        <w:rPr>
          <w:rFonts w:ascii="等线(中文正文)" w:hAnsi="等线(中文正文)" w:cs="等线(中文正文)" w:eastAsia="等线(中文正文)"/>
          <w:b w:val="false"/>
          <w:i w:val="false"/>
          <w:sz w:val="20"/>
        </w:rPr>
        <w:t>发言人1 答：在家居板块中，软体表现优于整体家居行业，受益于功能沙发、AI床垫等增量品类的开发。此外，家居五金和电连接等细分领域的龙头也跑赢了行业和地产竣工数据。渠道端，单门体门店逐渐关闭并转型为全品类门店，整体行业景气度较低，重点关注地产前端指标变化和政策对估值修复的影响。</w:t>
      </w:r>
    </w:p>
    <w:p>
      <w:r>
        <w:rPr>
          <w:rFonts w:ascii="等线(中文正文)" w:hAnsi="等线(中文正文)" w:cs="等线(中文正文)" w:eastAsia="等线(中文正文)"/>
          <w:b w:val="false"/>
          <w:i w:val="false"/>
          <w:sz w:val="20"/>
        </w:rPr>
        <w:t/>
      </w:r>
    </w:p>
    <w:p>
      <w:pPr>
        <w:pStyle w:val="ab"/>
      </w:pPr>
      <w:r>
        <w:t>发言人1 问：造纸板块的研究框架和供需情况如何？</w:t>
      </w:r>
    </w:p>
    <w:p>
      <w:r>
        <w:rPr>
          <w:rFonts w:ascii="等线(中文正文)" w:hAnsi="等线(中文正文)" w:cs="等线(中文正文)" w:eastAsia="等线(中文正文)"/>
          <w:b w:val="false"/>
          <w:i w:val="false"/>
          <w:sz w:val="20"/>
        </w:rPr>
        <w:t>发言人1 答：造纸板块是轻纺行业中的偏周期性行业，主要关注供需变化带来的盈利扩张或收缩。近五年消费量复合增长略低于GDP增速（约3%）。其中，包装用纸需求占据主导（7-8成），文化印刷用纸和其他小部分需求占比相对较小。从成长性角度看，特种纸和生活用纸景气度较高，而瓦楞纸需求与GDP增速基本一致，书写印刷用的文化纸则因电子化、无纸化需求替代及学生人数下降而呈弱需求状态。供给端方面，造纸行业固定资产投资额自2023年起呈现下降趋势，新增产能减少，亏损企业数量增加，行业产能利用率触底回升，从长期看，头部企业通过浆纸一体化提高原材料自给能力，木浆价格整体呈现中高位震荡，预计未来全球木浆供需格局将有所改善，价格可能会有所回落。</w:t>
      </w:r>
    </w:p>
    <w:p>
      <w:r>
        <w:rPr>
          <w:rFonts w:ascii="等线(中文正文)" w:hAnsi="等线(中文正文)" w:cs="等线(中文正文)" w:eastAsia="等线(中文正文)"/>
          <w:b w:val="false"/>
          <w:i w:val="false"/>
          <w:sz w:val="20"/>
        </w:rPr>
        <w:t/>
      </w:r>
    </w:p>
    <w:p>
      <w:pPr>
        <w:pStyle w:val="ab"/>
      </w:pPr>
      <w:r>
        <w:t>发言人1 问：轻工出口链方面的需求情况如何，尤其是对美国市场的观察？</w:t>
      </w:r>
    </w:p>
    <w:p>
      <w:r>
        <w:rPr>
          <w:rFonts w:ascii="等线(中文正文)" w:hAnsi="等线(中文正文)" w:cs="等线(中文正文)" w:eastAsia="等线(中文正文)"/>
          <w:b w:val="false"/>
          <w:i w:val="false"/>
          <w:sz w:val="20"/>
        </w:rPr>
        <w:t>发言人1 答：轻工出口链下游产品种类多元化，其中服装和家具的需求表现分化。服装零售持续相对景气，而家具店零售低迷。服装行业的稳健主要得益于价格因素（如关税成本提升）和刚需属性，同时库存低位和品牌间的分化也支撑了整体趋势。从制造公司层面看，营收改善趋势明显，关税扰动减弱，客户结构优化。而在轻工需求核心变量——美国地产后周期方面，二手房交易量低迷，利率环境对其复苏构成挑战。此外，汇率变化也会影响代工制造企业的收入确认和毛利表现，美元贬值会对以人民币为报表的代工制造企业产生一定影响。</w:t>
      </w:r>
    </w:p>
    <w:p>
      <w:r>
        <w:rPr>
          <w:rFonts w:ascii="等线(中文正文)" w:hAnsi="等线(中文正文)" w:cs="等线(中文正文)" w:eastAsia="等线(中文正文)"/>
          <w:b w:val="false"/>
          <w:i w:val="false"/>
          <w:sz w:val="20"/>
        </w:rPr>
        <w:t/>
      </w:r>
    </w:p>
    <w:p>
      <w:pPr>
        <w:pStyle w:val="ab"/>
      </w:pPr>
      <w:r>
        <w:t>发言人1 问：在投资培训中，您更看重的是具体行业分析还是方法论的传授？</w:t>
      </w:r>
    </w:p>
    <w:p>
      <w:r>
        <w:rPr>
          <w:rFonts w:ascii="等线(中文正文)" w:hAnsi="等线(中文正文)" w:cs="等线(中文正文)" w:eastAsia="等线(中文正文)"/>
          <w:b w:val="false"/>
          <w:i w:val="false"/>
          <w:sz w:val="20"/>
        </w:rPr>
        <w:t>发言人1 答：我更侧重于从方法论的角度进行介绍，因为整个权益研究可以视为一门系统工程，它关乎对事物的认知以及自我认知的综合提升。对于具体的行业分析，由于行业变化较快且个人观察视角各异，我认为不如方法论那样具有持久的指导意义。</w:t>
      </w:r>
    </w:p>
    <w:p>
      <w:r>
        <w:rPr>
          <w:rFonts w:ascii="等线(中文正文)" w:hAnsi="等线(中文正文)" w:cs="等线(中文正文)" w:eastAsia="等线(中文正文)"/>
          <w:b w:val="false"/>
          <w:i w:val="false"/>
          <w:sz w:val="20"/>
        </w:rPr>
        <w:t/>
      </w:r>
    </w:p>
    <w:p>
      <w:pPr>
        <w:pStyle w:val="ab"/>
      </w:pPr>
      <w:r>
        <w:t>发言人1 问：您能否分享一下对于投资研究中“认知世界”重要性的理解？</w:t>
      </w:r>
    </w:p>
    <w:p>
      <w:r>
        <w:rPr>
          <w:rFonts w:ascii="等线(中文正文)" w:hAnsi="等线(中文正文)" w:cs="等线(中文正文)" w:eastAsia="等线(中文正文)"/>
          <w:b w:val="false"/>
          <w:i w:val="false"/>
          <w:sz w:val="20"/>
        </w:rPr>
        <w:t>发言人1 答：认知世界是投资研究的基础，可以理解为缘起性空的概念，即所有认知的事物的发生和呈现都是当时所有条件的总和。这意味着常识有其局限性，投资规律在不同市场环境下可能会发生变化，因此我们需要不断理解和适应新的变化，而非固守一种规范或规则。</w:t>
      </w:r>
    </w:p>
    <w:p>
      <w:r>
        <w:rPr>
          <w:rFonts w:ascii="等线(中文正文)" w:hAnsi="等线(中文正文)" w:cs="等线(中文正文)" w:eastAsia="等线(中文正文)"/>
          <w:b w:val="false"/>
          <w:i w:val="false"/>
          <w:sz w:val="20"/>
        </w:rPr>
        <w:t/>
      </w:r>
    </w:p>
    <w:p>
      <w:pPr>
        <w:pStyle w:val="ab"/>
      </w:pPr>
      <w:r>
        <w:t>发言人1 问：您提到的核心观点是什么？</w:t>
      </w:r>
    </w:p>
    <w:p>
      <w:r>
        <w:rPr>
          <w:rFonts w:ascii="等线(中文正文)" w:hAnsi="等线(中文正文)" w:cs="等线(中文正文)" w:eastAsia="等线(中文正文)"/>
          <w:b w:val="false"/>
          <w:i w:val="false"/>
          <w:sz w:val="20"/>
        </w:rPr>
        <w:t>发言人1 答：核心观点是关注事物背后的条件是不断变化的，这背后的理念源自中论思想——缘起性空。同时，我们要学会将事物的发展规律拆解为三个基本要素：时间、空间和运动（或不变性）。这三个要素可以用来分析投资领域中的各种现象和规律。</w:t>
      </w:r>
    </w:p>
    <w:p>
      <w:r>
        <w:rPr>
          <w:rFonts w:ascii="等线(中文正文)" w:hAnsi="等线(中文正文)" w:cs="等线(中文正文)" w:eastAsia="等线(中文正文)"/>
          <w:b w:val="false"/>
          <w:i w:val="false"/>
          <w:sz w:val="20"/>
        </w:rPr>
        <w:t/>
      </w:r>
    </w:p>
    <w:p>
      <w:pPr>
        <w:pStyle w:val="ab"/>
      </w:pPr>
      <w:r>
        <w:t>发言人1 问：投资研究中常遇到什么问题？</w:t>
      </w:r>
    </w:p>
    <w:p>
      <w:r>
        <w:rPr>
          <w:rFonts w:ascii="等线(中文正文)" w:hAnsi="等线(中文正文)" w:cs="等线(中文正文)" w:eastAsia="等线(中文正文)"/>
          <w:b w:val="false"/>
          <w:i w:val="false"/>
          <w:sz w:val="20"/>
        </w:rPr>
        <w:t>发言人1 答：常遇到的问题之一是二律背反现象，即某个因素既可以正向解释也可以反向解释某个现象，导致逻辑上的迷惑性。实际检验结果显示，许多我们认为的规律可能只是短期预测，不具备持续性，这就是刻舟求剑的问题，即过度依赖历史数据得出的结论，在当前环境下可能并不适用。</w:t>
      </w:r>
    </w:p>
    <w:p>
      <w:r>
        <w:rPr>
          <w:rFonts w:ascii="等线(中文正文)" w:hAnsi="等线(中文正文)" w:cs="等线(中文正文)" w:eastAsia="等线(中文正文)"/>
          <w:b w:val="false"/>
          <w:i w:val="false"/>
          <w:sz w:val="20"/>
        </w:rPr>
        <w:t/>
      </w:r>
    </w:p>
    <w:p>
      <w:pPr>
        <w:pStyle w:val="ab"/>
      </w:pPr>
      <w:r>
        <w:t>发言人1 问：如何正确理解和应对投资研究中的复杂性和挑战？</w:t>
      </w:r>
    </w:p>
    <w:p>
      <w:r>
        <w:rPr>
          <w:rFonts w:ascii="等线(中文正文)" w:hAnsi="等线(中文正文)" w:cs="等线(中文正文)" w:eastAsia="等线(中文正文)"/>
          <w:b w:val="false"/>
          <w:i w:val="false"/>
          <w:sz w:val="20"/>
        </w:rPr>
        <w:t>发言人1 答：应当借鉴数学和哲学工具，如概率论与统计分析，去理解大数定理、极大似然估计、贝叶斯法等工具的应用。在研究过程中，要学会线性外推、归因分析和逻辑归纳，识别影响事物的主要矛盾，并在不断适应新变化的过程中减少认知体系中的bug，以实现系统的持续运营。</w:t>
      </w:r>
    </w:p>
    <w:p>
      <w:r>
        <w:rPr>
          <w:rFonts w:ascii="等线(中文正文)" w:hAnsi="等线(中文正文)" w:cs="等线(中文正文)" w:eastAsia="等线(中文正文)"/>
          <w:b w:val="false"/>
          <w:i w:val="false"/>
          <w:sz w:val="20"/>
        </w:rPr>
        <w:t/>
      </w:r>
    </w:p>
    <w:p>
      <w:pPr>
        <w:pStyle w:val="ab"/>
      </w:pPr>
      <w:r>
        <w:t>发言人1 问：在投资领域中，为什么市场规律与过去生存策略中的规律会产生冲突？</w:t>
      </w:r>
    </w:p>
    <w:p>
      <w:r>
        <w:rPr>
          <w:rFonts w:ascii="等线(中文正文)" w:hAnsi="等线(中文正文)" w:cs="等线(中文正文)" w:eastAsia="等线(中文正文)"/>
          <w:b w:val="false"/>
          <w:i w:val="false"/>
          <w:sz w:val="20"/>
        </w:rPr>
        <w:t>发言人1 答：在资本市场中，博弈速度非常快，及时反馈与长期策略的反馈相冲。过去几万年到几十万年中，祖先总结出的生存规律在此环境下不再适用，因为市场博弈的快速反馈机制导致投资者更重视短期正反馈而忽视了长期负反馈，从而产生了追涨杀跌等非理性行为。</w:t>
      </w:r>
    </w:p>
    <w:p>
      <w:r>
        <w:rPr>
          <w:rFonts w:ascii="等线(中文正文)" w:hAnsi="等线(中文正文)" w:cs="等线(中文正文)" w:eastAsia="等线(中文正文)"/>
          <w:b w:val="false"/>
          <w:i w:val="false"/>
          <w:sz w:val="20"/>
        </w:rPr>
        <w:t/>
      </w:r>
    </w:p>
    <w:p>
      <w:pPr>
        <w:pStyle w:val="ab"/>
      </w:pPr>
      <w:r>
        <w:t>发言人1 问：风险厌恶与风险收益偏好之间不匹配如何影响投资决策？</w:t>
      </w:r>
    </w:p>
    <w:p>
      <w:r>
        <w:rPr>
          <w:rFonts w:ascii="等线(中文正文)" w:hAnsi="等线(中文正文)" w:cs="等线(中文正文)" w:eastAsia="等线(中文正文)"/>
          <w:b w:val="false"/>
          <w:i w:val="false"/>
          <w:sz w:val="20"/>
        </w:rPr>
        <w:t>发言人1 答：投资者的风险厌恶程度与对风险收益喜好的程度存在极大的错配，这种错配造成了投资周期的产生。例如，在市场底部时，投资者往往因害怕贪婪而无法把握住抄底机会，而在顶部时又过于恐惧，无法做出及时的止损决策。</w:t>
      </w:r>
    </w:p>
    <w:p>
      <w:r>
        <w:rPr>
          <w:rFonts w:ascii="等线(中文正文)" w:hAnsi="等线(中文正文)" w:cs="等线(中文正文)" w:eastAsia="等线(中文正文)"/>
          <w:b w:val="false"/>
          <w:i w:val="false"/>
          <w:sz w:val="20"/>
        </w:rPr>
        <w:t/>
      </w:r>
    </w:p>
    <w:p>
      <w:pPr>
        <w:pStyle w:val="ab"/>
      </w:pPr>
      <w:r>
        <w:t>发言人1 问：竞争策略在投资中的作用及与自然界捕食效率的对比是什么？</w:t>
      </w:r>
    </w:p>
    <w:p>
      <w:r>
        <w:rPr>
          <w:rFonts w:ascii="等线(中文正文)" w:hAnsi="等线(中文正文)" w:cs="等线(中文正文)" w:eastAsia="等线(中文正文)"/>
          <w:b w:val="false"/>
          <w:i w:val="false"/>
          <w:sz w:val="20"/>
        </w:rPr>
        <w:t>发言人1 答：在投资领域，竞争策略不如“躺平”策略有效。自然界中的捕食效率表明，人类在投资上的竞争效率并不高，不依赖于竞争优势，而是需要运用概率论与统计学知识以及会计等金融语言来理解市场和识别投资机会。</w:t>
      </w:r>
    </w:p>
    <w:p>
      <w:r>
        <w:rPr>
          <w:rFonts w:ascii="等线(中文正文)" w:hAnsi="等线(中文正文)" w:cs="等线(中文正文)" w:eastAsia="等线(中文正文)"/>
          <w:b w:val="false"/>
          <w:i w:val="false"/>
          <w:sz w:val="20"/>
        </w:rPr>
        <w:t/>
      </w:r>
    </w:p>
    <w:p>
      <w:pPr>
        <w:pStyle w:val="ab"/>
      </w:pPr>
      <w:r>
        <w:t>发言人1 问：如何通过财务分析来判断一家公司的价值和商业模式？</w:t>
      </w:r>
    </w:p>
    <w:p>
      <w:r>
        <w:rPr>
          <w:rFonts w:ascii="等线(中文正文)" w:hAnsi="等线(中文正文)" w:cs="等线(中文正文)" w:eastAsia="等线(中文正文)"/>
          <w:b w:val="false"/>
          <w:i w:val="false"/>
          <w:sz w:val="20"/>
        </w:rPr>
        <w:t>发言人1 答：通过学习财务和会计知识，特别是识别历史财务造假案例，可以更好地理解一家公司的商业模式本质，如通过利润表、资产负债表和现金流量表分析公司的盈利模式、资本结构及现金流量，并据此判断公司的周期性、所处生命周期阶段以及价值评估。</w:t>
      </w:r>
    </w:p>
    <w:p>
      <w:r>
        <w:rPr>
          <w:rFonts w:ascii="等线(中文正文)" w:hAnsi="等线(中文正文)" w:cs="等线(中文正文)" w:eastAsia="等线(中文正文)"/>
          <w:b w:val="false"/>
          <w:i w:val="false"/>
          <w:sz w:val="20"/>
        </w:rPr>
        <w:t/>
      </w:r>
    </w:p>
    <w:p>
      <w:pPr>
        <w:pStyle w:val="ab"/>
      </w:pPr>
      <w:r>
        <w:t>发言人1 问：如何理解资产、成本及所有者权益在财务管理中的定义？</w:t>
      </w:r>
    </w:p>
    <w:p>
      <w:r>
        <w:rPr>
          <w:rFonts w:ascii="等线(中文正文)" w:hAnsi="等线(中文正文)" w:cs="等线(中文正文)" w:eastAsia="等线(中文正文)"/>
          <w:b w:val="false"/>
          <w:i w:val="false"/>
          <w:sz w:val="20"/>
        </w:rPr>
        <w:t>发言人1 答：资产被定义为能带来未来收益的任何东西；成本则是已提供完的服务，包括物质或虚拟形式的服务；所有者权益则揭示了公司是股权主导还是债权主导，并通过对比分析帮助识别公司的商业模式和运营特点。</w:t>
      </w:r>
    </w:p>
    <w:p>
      <w:r>
        <w:rPr>
          <w:rFonts w:ascii="等线(中文正文)" w:hAnsi="等线(中文正文)" w:cs="等线(中文正文)" w:eastAsia="等线(中文正文)"/>
          <w:b w:val="false"/>
          <w:i w:val="false"/>
          <w:sz w:val="20"/>
        </w:rPr>
        <w:t/>
      </w:r>
    </w:p>
    <w:p>
      <w:pPr>
        <w:pStyle w:val="ab"/>
      </w:pPr>
      <w:r>
        <w:t>发言人1 问：公司治理在投资研究中的重要性体现在哪些方面？</w:t>
      </w:r>
    </w:p>
    <w:p>
      <w:r>
        <w:rPr>
          <w:rFonts w:ascii="等线(中文正文)" w:hAnsi="等线(中文正文)" w:cs="等线(中文正文)" w:eastAsia="等线(中文正文)"/>
          <w:b w:val="false"/>
          <w:i w:val="false"/>
          <w:sz w:val="20"/>
        </w:rPr>
        <w:t>发言人1 答：公司治理在投资研究中至关重要，它反映了人性复杂性在企业制度和运作中的体现，影响着利益平衡和不同群体利益分配的结果。优秀的公司治理能够促进企业长期稳定发展，而理解并分析公司治理情况有助于评估企业管理水平和决策方向，从而做出更为明智的投资决策。</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