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小鹏汽车[XPEV.N]2026年第二季度业绩交流会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小鹏 融资 人形机器人 物理AI 量产 汽车业务 毛利率 供应链 自动驾驶 图灵AI芯片 高阶通用 技术领先 毛利增长 交付量 科技豪华 高端化 成本上升 小鹏汽车 L03 G9L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小鹏集团领导层分享了公司最新财务和运营成果，强调了在物理AI领域的进展，尤其是人形机器人业务的融资成功，获得超过9亿美元，投后估值63亿美元，刷新行业记录。融资将支持研发和量产。此外，介绍了自动驾驶技术进展和增长势头，尽管面临成本压力，财务表现仍增长。管理层展望了继续在AI技术投资，探索商业化新模式，目标2027年实现高阶机器人规模量产。另一部分讨论了S DNA公司在第二季度的财务表现，包括开销、亏损和现金状况，强调了对会议长度的考量。机器人项目讨论涵盖了产能爬坡、供应链管理、成本效益分析，以及与小鹏在自动驾驶领域的合作。灵巧手进展和与竞争对手比较也被提及。讨论了海外市场的策略和机器人项目的盈利能力，以及可能将机器人业务与汽车业务利润分开报告的计划。最后，询问了人形机器人项目对财务报告的影响和确保两个业务高效、独立运行的方法。</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第二季度财务与运营成果发布</w:t>
      </w:r>
    </w:p>
    <w:p>
      <w:r>
        <w:rPr>
          <w:rFonts w:ascii="等线(中文正文)" w:hAnsi="等线(中文正文)" w:cs="等线(中文正文)" w:eastAsia="等线(中文正文)"/>
          <w:b w:val="false"/>
          <w:i w:val="false"/>
          <w:sz w:val="20"/>
        </w:rPr>
        <w:t>会议介绍了公司第二季度的财务和运营成果，强调了财务预测的不确定性，并指出所有财务数据均需谨慎对待，可能与实际结果存在差异。公司管理层将分享准备好的报告，并在会议结束时开放问答环节。会议内容包含前瞻性声明，受美国私有证券诉讼改革法案保护。</w:t>
      </w:r>
    </w:p>
    <w:p>
      <w:r>
        <w:rPr>
          <w:rFonts w:ascii="等线(中文正文)" w:hAnsi="等线(中文正文)" w:cs="等线(中文正文)" w:eastAsia="等线(中文正文)"/>
          <w:b w:val="false"/>
          <w:i w:val="false"/>
          <w:sz w:val="20"/>
        </w:rPr>
        <w:t/>
      </w:r>
    </w:p>
    <w:p>
      <w:pPr>
        <w:pStyle w:val="ab"/>
        <w:numPr>
          <w:numId w:val="2"/>
        </w:numPr>
      </w:pPr>
      <w:r>
        <w:t>01:58 小鹏集团人形继承业务完成超9亿美元首轮融资</w:t>
      </w:r>
    </w:p>
    <w:p>
      <w:r>
        <w:rPr>
          <w:rFonts w:ascii="等线(中文正文)" w:hAnsi="等线(中文正文)" w:cs="等线(中文正文)" w:eastAsia="等线(中文正文)"/>
          <w:b w:val="false"/>
          <w:i w:val="false"/>
          <w:sz w:val="20"/>
        </w:rPr>
        <w:t>小鹏集团人形继承业务宣布完成首轮融资，投后估值超过63亿美元，融资金额超过9亿美元，刷新行业记录。此轮融资由IDG领投，高榕资本参与，同时获得腾讯和阿里战略投资者支持。这标志着资本市场对小鹏在物理AI领域技术、量产能力和商业价值的高度认可，将加速小鹏向物理ATTP时刻前进，推动生态建设和应用场景拓展。</w:t>
      </w:r>
    </w:p>
    <w:p>
      <w:r>
        <w:rPr>
          <w:rFonts w:ascii="等线(中文正文)" w:hAnsi="等线(中文正文)" w:cs="等线(中文正文)" w:eastAsia="等线(中文正文)"/>
          <w:b w:val="false"/>
          <w:i w:val="false"/>
          <w:sz w:val="20"/>
        </w:rPr>
        <w:t/>
      </w:r>
    </w:p>
    <w:p>
      <w:pPr>
        <w:pStyle w:val="ab"/>
        <w:numPr>
          <w:numId w:val="3"/>
        </w:numPr>
      </w:pPr>
      <w:r>
        <w:t>03:31 小鹏机器人业务获巨额融资，加速物理AI量产与商业化</w:t>
      </w:r>
    </w:p>
    <w:p>
      <w:r>
        <w:rPr>
          <w:rFonts w:ascii="等线(中文正文)" w:hAnsi="等线(中文正文)" w:cs="等线(中文正文)" w:eastAsia="等线(中文正文)"/>
          <w:b w:val="false"/>
          <w:i w:val="false"/>
          <w:sz w:val="20"/>
        </w:rPr>
        <w:t>一家公司宣布了其机器人业务的第一轮巨额融资，金额超过9亿美元，后估值达到62.2亿美元，创中国人形机器人行业新纪录。此轮融资由IDG资本领投，Gal Ventures参与，腾讯和阿里巴巴作为战略投资者支持。融资将用于支持大规模生产和先进人形机器人的持续开发，加速物理AI技术的商业化进程。自今年六月起，CEO开始亲自负责机器人业务，整合集团资源，包括供应链、制造能力、全球布局以及自动驾驶业务的AI芯片和数据底层能力，旨在加速机器人业务的量产和商业化。</w:t>
      </w:r>
    </w:p>
    <w:p>
      <w:r>
        <w:rPr>
          <w:rFonts w:ascii="等线(中文正文)" w:hAnsi="等线(中文正文)" w:cs="等线(中文正文)" w:eastAsia="等线(中文正文)"/>
          <w:b w:val="false"/>
          <w:i w:val="false"/>
          <w:sz w:val="20"/>
        </w:rPr>
        <w:t/>
      </w:r>
    </w:p>
    <w:p>
      <w:pPr>
        <w:pStyle w:val="ab"/>
        <w:numPr>
          <w:numId w:val="4"/>
        </w:numPr>
      </w:pPr>
      <w:r>
        <w:t>06:54 小鹏机器人研发的挑战与创新</w:t>
      </w:r>
    </w:p>
    <w:p>
      <w:r>
        <w:rPr>
          <w:rFonts w:ascii="等线(中文正文)" w:hAnsi="等线(中文正文)" w:cs="等线(中文正文)" w:eastAsia="等线(中文正文)"/>
          <w:b w:val="false"/>
          <w:i w:val="false"/>
          <w:sz w:val="20"/>
        </w:rPr>
        <w:t>对话强调了机器人研发，特别是高阶通用人形机器人的技术挑战和创新难度远超智能汽车。为了克服这些挑战，需要在设计、硬件、软件、AI数据管理、品质和制造等方面进行全面的正向研发和系统集成。小鹏机器人作为中国唯一一家全面自研技术体系的机器人公司，其产品在多个方面展现出独特能力和整体平衡意识，与市场上其他竞品有本质区别。</w:t>
      </w:r>
    </w:p>
    <w:p>
      <w:r>
        <w:rPr>
          <w:rFonts w:ascii="等线(中文正文)" w:hAnsi="等线(中文正文)" w:cs="等线(中文正文)" w:eastAsia="等线(中文正文)"/>
          <w:b w:val="false"/>
          <w:i w:val="false"/>
          <w:sz w:val="20"/>
        </w:rPr>
        <w:t/>
      </w:r>
    </w:p>
    <w:p>
      <w:pPr>
        <w:pStyle w:val="ab"/>
        <w:numPr>
          <w:numId w:val="5"/>
        </w:numPr>
      </w:pPr>
      <w:r>
        <w:t>09:06 小鹏汽车自研机器人技术与AI模型的量产与应用</w:t>
      </w:r>
    </w:p>
    <w:p>
      <w:r>
        <w:rPr>
          <w:rFonts w:ascii="等线(中文正文)" w:hAnsi="等线(中文正文)" w:cs="等线(中文正文)" w:eastAsia="等线(中文正文)"/>
          <w:b w:val="false"/>
          <w:i w:val="false"/>
          <w:sz w:val="20"/>
        </w:rPr>
        <w:t>小鹏汽车自主研发的机器人技术涵盖了从硬件平台到核心零部件的全面覆盖，包括AI芯片、控制器等，具备76个自由度的灵巧设计，领先于行业。搭载3颗图灵AI芯片，拥有2250TOPS算力，实现了无需云端干预的复杂任务处理，确保低时延与数据安全。依托大规模量产能力与智能电动车研发体系，小鹏正加速AI模型迭代，推动机器人技术在更多场景的应用，形成数据与模型应用的飞轮效应，促进机器人在真实世界的快速进化。</w:t>
      </w:r>
    </w:p>
    <w:p>
      <w:r>
        <w:rPr>
          <w:rFonts w:ascii="等线(中文正文)" w:hAnsi="等线(中文正文)" w:cs="等线(中文正文)" w:eastAsia="等线(中文正文)"/>
          <w:b w:val="false"/>
          <w:i w:val="false"/>
          <w:sz w:val="20"/>
        </w:rPr>
        <w:t/>
      </w:r>
    </w:p>
    <w:p>
      <w:pPr>
        <w:pStyle w:val="ab"/>
        <w:numPr>
          <w:numId w:val="6"/>
        </w:numPr>
      </w:pPr>
      <w:r>
        <w:t>12:32 小鹏铁鹰AI机器人：迈向量产与广泛应用</w:t>
      </w:r>
    </w:p>
    <w:p>
      <w:r>
        <w:rPr>
          <w:rFonts w:ascii="等线(中文正文)" w:hAnsi="等线(中文正文)" w:cs="等线(中文正文)" w:eastAsia="等线(中文正文)"/>
          <w:b w:val="false"/>
          <w:i w:val="false"/>
          <w:sz w:val="20"/>
        </w:rPr>
        <w:t>对话介绍了小鹏铁鹰AI机器人的量产计划与应用前景。铁鹰搭载三颗Tory AI芯片，具备2250 TOPS计算力，支持复杂任务自主执行，保障低延迟、安全推理。面向量产的版本已达成多个里程碑，计划年底开始规模生产，2027年正式上市，目标市场为中国及海外零售、服务业，产能将迅速提升至数千台。铁鹰旨在成为人类值得信赖的伙伴，融入大众工作与生活。</w:t>
      </w:r>
    </w:p>
    <w:p>
      <w:r>
        <w:rPr>
          <w:rFonts w:ascii="等线(中文正文)" w:hAnsi="等线(中文正文)" w:cs="等线(中文正文)" w:eastAsia="等线(中文正文)"/>
          <w:b w:val="false"/>
          <w:i w:val="false"/>
          <w:sz w:val="20"/>
        </w:rPr>
        <w:t/>
      </w:r>
    </w:p>
    <w:p>
      <w:pPr>
        <w:pStyle w:val="ab"/>
        <w:numPr>
          <w:numId w:val="7"/>
        </w:numPr>
      </w:pPr>
      <w:r>
        <w:t>14:59 人形机器人商业化前景与高技术壁垒</w:t>
      </w:r>
    </w:p>
    <w:p>
      <w:r>
        <w:rPr>
          <w:rFonts w:ascii="等线(中文正文)" w:hAnsi="等线(中文正文)" w:cs="等线(中文正文)" w:eastAsia="等线(中文正文)"/>
          <w:b w:val="false"/>
          <w:i w:val="false"/>
          <w:sz w:val="20"/>
        </w:rPr>
        <w:t>对话强调了高阶通用型人形机器人因技术门槛高和供给稀缺，其全生命周期的收入与毛利贡献将远超当前汽车业务。预计在国内外规模化生产后，人形机器人将快速商业化，为零售和服务行业带来可观的毛利增长，支持更大的物理AI研发投入，持续扩大技术领先优势。</w:t>
      </w:r>
    </w:p>
    <w:p>
      <w:r>
        <w:rPr>
          <w:rFonts w:ascii="等线(中文正文)" w:hAnsi="等线(中文正文)" w:cs="等线(中文正文)" w:eastAsia="等线(中文正文)"/>
          <w:b w:val="false"/>
          <w:i w:val="false"/>
          <w:sz w:val="20"/>
        </w:rPr>
        <w:t/>
      </w:r>
    </w:p>
    <w:p>
      <w:pPr>
        <w:pStyle w:val="ab"/>
        <w:numPr>
          <w:numId w:val="8"/>
        </w:numPr>
      </w:pPr>
      <w:r>
        <w:t>17:36 小鹏汽车二季度业绩亮眼，交付量创新高</w:t>
      </w:r>
    </w:p>
    <w:p>
      <w:r>
        <w:rPr>
          <w:rFonts w:ascii="等线(中文正文)" w:hAnsi="等线(中文正文)" w:cs="等线(中文正文)" w:eastAsia="等线(中文正文)"/>
          <w:b w:val="false"/>
          <w:i w:val="false"/>
          <w:sz w:val="20"/>
        </w:rPr>
        <w:t>二季度汽车业务交付量达103295台，环比增长65%，小鹏汽车在高端化和国际化上取得突破，毛利率超20%。旗舰车型G9和爆款L03表现抢眼，订单创新高。尽管产能受天气和供应链影响，但公司正全力提升产能，预计L03交付量将大幅提升。</w:t>
      </w:r>
    </w:p>
    <w:p>
      <w:r>
        <w:rPr>
          <w:rFonts w:ascii="等线(中文正文)" w:hAnsi="等线(中文正文)" w:cs="等线(中文正文)" w:eastAsia="等线(中文正文)"/>
          <w:b w:val="false"/>
          <w:i w:val="false"/>
          <w:sz w:val="20"/>
        </w:rPr>
        <w:t/>
      </w:r>
    </w:p>
    <w:p>
      <w:pPr>
        <w:pStyle w:val="ab"/>
        <w:numPr>
          <w:numId w:val="9"/>
        </w:numPr>
      </w:pPr>
      <w:r>
        <w:t>19:30 小鹏汽车Q2业绩亮眼，预计Q4销量将显著提升</w:t>
      </w:r>
    </w:p>
    <w:p>
      <w:r>
        <w:rPr>
          <w:rFonts w:ascii="等线(中文正文)" w:hAnsi="等线(中文正文)" w:cs="等线(中文正文)" w:eastAsia="等线(中文正文)"/>
          <w:b w:val="false"/>
          <w:i w:val="false"/>
          <w:sz w:val="20"/>
        </w:rPr>
        <w:t>小鹏汽车第二季度交付量同比增长65%，国际业务营收占比突破25%，海外市场销量首次突破2万台，同比增长81%。预计第四季度销量将大幅增长，单月销量目标超过6万台，海外销量将突破4万台。公司计划在2027年前推出多款明星车型，进一步扩大小鹏在海外市场的地域覆盖和市场份额。</w:t>
      </w:r>
    </w:p>
    <w:p>
      <w:r>
        <w:rPr>
          <w:rFonts w:ascii="等线(中文正文)" w:hAnsi="等线(中文正文)" w:cs="等线(中文正文)" w:eastAsia="等线(中文正文)"/>
          <w:b w:val="false"/>
          <w:i w:val="false"/>
          <w:sz w:val="20"/>
        </w:rPr>
        <w:t/>
      </w:r>
    </w:p>
    <w:p>
      <w:pPr>
        <w:pStyle w:val="ab"/>
        <w:numPr>
          <w:numId w:val="10"/>
        </w:numPr>
      </w:pPr>
      <w:r>
        <w:t>24:12 小鹏汽车国际业务与自动驾驶技术升级</w:t>
      </w:r>
    </w:p>
    <w:p>
      <w:r>
        <w:rPr>
          <w:rFonts w:ascii="等线(中文正文)" w:hAnsi="等线(中文正文)" w:cs="等线(中文正文)" w:eastAsia="等线(中文正文)"/>
          <w:b w:val="false"/>
          <w:i w:val="false"/>
          <w:sz w:val="20"/>
        </w:rPr>
        <w:t>小鹏汽车国际业务表现突出，第二季度交付量首次超过2万台，同比增长81%。预计2027年第四季度海外交付量将超过4万台。公司计划在海外市场推出更多车型，包括长续航EV车型，以扩大地理覆盖和市场份额。此外，小鹏汽车将对其第二代VLA模型进行重大升级，提升自动驾驶安全性和用户体验，目标在量产车型上实现L4级别自动驾驶体验，超越竞争对手。</w:t>
      </w:r>
    </w:p>
    <w:p>
      <w:r>
        <w:rPr>
          <w:rFonts w:ascii="等线(中文正文)" w:hAnsi="等线(中文正文)" w:cs="等线(中文正文)" w:eastAsia="等线(中文正文)"/>
          <w:b w:val="false"/>
          <w:i w:val="false"/>
          <w:sz w:val="20"/>
        </w:rPr>
        <w:t/>
      </w:r>
    </w:p>
    <w:p>
      <w:pPr>
        <w:pStyle w:val="ab"/>
        <w:numPr>
          <w:numId w:val="11"/>
        </w:numPr>
      </w:pPr>
      <w:r>
        <w:t>30:37 第二代VA全球部署加速，欧洲市场率先获得监管许可</w:t>
      </w:r>
    </w:p>
    <w:p>
      <w:r>
        <w:rPr>
          <w:rFonts w:ascii="等线(中文正文)" w:hAnsi="等线(中文正文)" w:cs="等线(中文正文)" w:eastAsia="等线(中文正文)"/>
          <w:b w:val="false"/>
          <w:i w:val="false"/>
          <w:sz w:val="20"/>
        </w:rPr>
        <w:t>团队在德国成功完成第二代VA的本地化验收测试，模型在几乎不增加本地化训练数据的情况下，实现了中德两地体验的高度接近，展现出了全球多区域泛化能力的显著优势。目标是在2027年上半年率先在欧洲获得监管许可，并向更多国家的海外用户交付第二代VA，旨在提供安全、舒适、便捷的智能出行体验。未来，将与全球领先的辅助驾驶系统直接竞争，并探索基于软件的商业模式，促进商业化与技术研发的良性循环。</w:t>
      </w:r>
    </w:p>
    <w:p>
      <w:r>
        <w:rPr>
          <w:rFonts w:ascii="等线(中文正文)" w:hAnsi="等线(中文正文)" w:cs="等线(中文正文)" w:eastAsia="等线(中文正文)"/>
          <w:b w:val="false"/>
          <w:i w:val="false"/>
          <w:sz w:val="20"/>
        </w:rPr>
        <w:t/>
      </w:r>
    </w:p>
    <w:p>
      <w:pPr>
        <w:pStyle w:val="ab"/>
        <w:numPr>
          <w:numId w:val="12"/>
        </w:numPr>
      </w:pPr>
      <w:r>
        <w:t>33:06 小鹏汽车自动驾驶技术与商业布局</w:t>
      </w:r>
    </w:p>
    <w:p>
      <w:r>
        <w:rPr>
          <w:rFonts w:ascii="等线(中文正文)" w:hAnsi="等线(中文正文)" w:cs="等线(中文正文)" w:eastAsia="等线(中文正文)"/>
          <w:b w:val="false"/>
          <w:i w:val="false"/>
          <w:sz w:val="20"/>
        </w:rPr>
        <w:t>小鹏汽车在广州完成了超过2000次内测订单，验证了载人示范运营全流程，为商业化运营做准备。2027年，小鹏计划提升技术和成本竞争力，与国内外出行平台合作，扩大业务规模。预计2026年第三季度交付量达11.5万至12.1万台，收入约271亿至234亿元，自动驾驶技术将实现全球领先，推动高阶智能辅助驾驶技术落地，加速物理AI技术商业化，建立AI生态，创造更大商业价值。</w:t>
      </w:r>
    </w:p>
    <w:p>
      <w:r>
        <w:rPr>
          <w:rFonts w:ascii="等线(中文正文)" w:hAnsi="等线(中文正文)" w:cs="等线(中文正文)" w:eastAsia="等线(中文正文)"/>
          <w:b w:val="false"/>
          <w:i w:val="false"/>
          <w:sz w:val="20"/>
        </w:rPr>
        <w:t/>
      </w:r>
    </w:p>
    <w:p>
      <w:pPr>
        <w:pStyle w:val="ab"/>
        <w:numPr>
          <w:numId w:val="13"/>
        </w:numPr>
      </w:pPr>
      <w:r>
        <w:t>37:17 2026年第二季度财务报告及业务展望</w:t>
      </w:r>
    </w:p>
    <w:p>
      <w:r>
        <w:rPr>
          <w:rFonts w:ascii="等线(中文正文)" w:hAnsi="等线(中文正文)" w:cs="等线(中文正文)" w:eastAsia="等线(中文正文)"/>
          <w:b w:val="false"/>
          <w:i w:val="false"/>
          <w:sz w:val="20"/>
        </w:rPr>
        <w:t>公司预计2026年第三季度交付量将达115,200至121,000辆，同比增长11.23%至17.1%。营收预计在217亿至234亿人民币之间，环比增长9.9%至18.25%。报告强调了国内外业务加速增长的趋势，特别是车辆交付量的提升，以及先进通用人形机器人的规模化生产与商业化。财务方面，2026年第二季度总营收为197.4亿人民币，同比增长8%，环比增长51.5%。车辆销售营收为170.5亿人民币，同比增长1%，环比增长55%。服务及其他收入为27亿人民币，同比增长93.9%，环比增长33.6%。此外，研发投入和销售管理费用均有显著增长，反映公司在新产品和技术开发上的持续投资。</w:t>
      </w:r>
    </w:p>
    <w:p>
      <w:r>
        <w:rPr>
          <w:rFonts w:ascii="等线(中文正文)" w:hAnsi="等线(中文正文)" w:cs="等线(中文正文)" w:eastAsia="等线(中文正文)"/>
          <w:b w:val="false"/>
          <w:i w:val="false"/>
          <w:sz w:val="20"/>
        </w:rPr>
        <w:t/>
      </w:r>
    </w:p>
    <w:p>
      <w:pPr>
        <w:pStyle w:val="ab"/>
        <w:numPr>
          <w:numId w:val="14"/>
        </w:numPr>
      </w:pPr>
      <w:r>
        <w:t>43:25 小鹏机器人产能规划与2027年交付目标</w:t>
      </w:r>
    </w:p>
    <w:p>
      <w:r>
        <w:rPr>
          <w:rFonts w:ascii="等线(中文正文)" w:hAnsi="等线(中文正文)" w:cs="等线(中文正文)" w:eastAsia="等线(中文正文)"/>
          <w:b w:val="false"/>
          <w:i w:val="false"/>
          <w:sz w:val="20"/>
        </w:rPr>
        <w:t>对话讨论了小鹏机器人项目的产能规划，计划于2026年底启动规模量产，初期重点确保产品质量，随后加速产能爬坡。2027年，机器人将率先应用于自有商业场景，随后拓展至外部市场，目标月产能达数千台以上。预计随着供应链成熟度提升，交付量将持续增长，特别是在零售服务业领域，展现出超越同行的智能服务能力，推动更广泛的商业化应用。</w:t>
      </w:r>
    </w:p>
    <w:p>
      <w:r>
        <w:rPr>
          <w:rFonts w:ascii="等线(中文正文)" w:hAnsi="等线(中文正文)" w:cs="等线(中文正文)" w:eastAsia="等线(中文正文)"/>
          <w:b w:val="false"/>
          <w:i w:val="false"/>
          <w:sz w:val="20"/>
        </w:rPr>
        <w:t/>
      </w:r>
    </w:p>
    <w:p>
      <w:pPr>
        <w:pStyle w:val="ab"/>
        <w:numPr>
          <w:numId w:val="15"/>
        </w:numPr>
      </w:pPr>
      <w:r>
        <w:t>49:41 机器人量产成本与盈利模式探讨</w:t>
      </w:r>
    </w:p>
    <w:p>
      <w:r>
        <w:rPr>
          <w:rFonts w:ascii="等线(中文正文)" w:hAnsi="等线(中文正文)" w:cs="等线(中文正文)" w:eastAsia="等线(中文正文)"/>
          <w:b w:val="false"/>
          <w:i w:val="false"/>
          <w:sz w:val="20"/>
        </w:rPr>
        <w:t>对话围绕机器人量产版本的预计单台成本、定价策略及毛利率展开。讨论指出，通过自主设计的硬件平台和软件体系，以及与小鹏汽车重合的供应链合作，确保了成本竞争力。机器人定位为通用类型，定价空间广阔，硬件毛利预期高于汽车业务。此外，还将通过AI模型和软件服务增加收入来源，提升整体利润。</w:t>
      </w:r>
    </w:p>
    <w:p>
      <w:r>
        <w:rPr>
          <w:rFonts w:ascii="等线(中文正文)" w:hAnsi="等线(中文正文)" w:cs="等线(中文正文)" w:eastAsia="等线(中文正文)"/>
          <w:b w:val="false"/>
          <w:i w:val="false"/>
          <w:sz w:val="20"/>
        </w:rPr>
        <w:t/>
      </w:r>
    </w:p>
    <w:p>
      <w:pPr>
        <w:pStyle w:val="ab"/>
        <w:numPr>
          <w:numId w:val="16"/>
        </w:numPr>
      </w:pPr>
      <w:r>
        <w:t>53:38 机器人与自动驾驶模型协同开发探讨</w:t>
      </w:r>
    </w:p>
    <w:p>
      <w:r>
        <w:rPr>
          <w:rFonts w:ascii="等线(中文正文)" w:hAnsi="等线(中文正文)" w:cs="等线(中文正文)" w:eastAsia="等线(中文正文)"/>
          <w:b w:val="false"/>
          <w:i w:val="false"/>
          <w:sz w:val="20"/>
        </w:rPr>
        <w:t>对话围绕机器人与自动驾驶模型的协同开发展开，指出当前存在超快、中速和慢速三种模型，分别对应不同应用场景。小鹏汽车的V1A和多模态模型VOM与机器人技术有共通之处，如非导航道路漫游功能。双方强调在安全、数据隐私等方面有独特模型，未来将在大体系内共同开发，包括世界模型仿真和生成模型，体现机器人与汽车技术的深度融合与互补。</w:t>
      </w:r>
    </w:p>
    <w:p>
      <w:r>
        <w:rPr>
          <w:rFonts w:ascii="等线(中文正文)" w:hAnsi="等线(中文正文)" w:cs="等线(中文正文)" w:eastAsia="等线(中文正文)"/>
          <w:b w:val="false"/>
          <w:i w:val="false"/>
          <w:sz w:val="20"/>
        </w:rPr>
        <w:t/>
      </w:r>
    </w:p>
    <w:p>
      <w:pPr>
        <w:pStyle w:val="ab"/>
        <w:numPr>
          <w:numId w:val="17"/>
        </w:numPr>
      </w:pPr>
      <w:r>
        <w:t>59:22 小鹏机器人数据采集与训练的差异化优势</w:t>
      </w:r>
    </w:p>
    <w:p>
      <w:r>
        <w:rPr>
          <w:rFonts w:ascii="等线(中文正文)" w:hAnsi="等线(中文正文)" w:cs="等线(中文正文)" w:eastAsia="等线(中文正文)"/>
          <w:b w:val="false"/>
          <w:i w:val="false"/>
          <w:sz w:val="20"/>
        </w:rPr>
        <w:t>对话讨论了小鹏公司在机器人领域，特别是在数据采集、训练及闭环迭代方面的独特优势。强调数据质量、多样性管理和有效使用对于自动驾驶及机器人技术的重要性。小鹏凭借十年研发经验，形成行业领先的自动驾驶能力，其数据管理体系与汽车研发体系深度融合，确保了从采集到应用的全闭环高效运作。未来量产将带来更多高质量真实场景数据，助力艾伦机器人在真实世界中加速进化。</w:t>
      </w:r>
    </w:p>
    <w:p>
      <w:r>
        <w:rPr>
          <w:rFonts w:ascii="等线(中文正文)" w:hAnsi="等线(中文正文)" w:cs="等线(中文正文)" w:eastAsia="等线(中文正文)"/>
          <w:b w:val="false"/>
          <w:i w:val="false"/>
          <w:sz w:val="20"/>
        </w:rPr>
        <w:t/>
      </w:r>
    </w:p>
    <w:p>
      <w:pPr>
        <w:pStyle w:val="ab"/>
        <w:numPr>
          <w:numId w:val="18"/>
        </w:numPr>
      </w:pPr>
      <w:r>
        <w:t>01:02:37 小鹏机器人商业化策略与未来规划</w:t>
      </w:r>
    </w:p>
    <w:p>
      <w:r>
        <w:rPr>
          <w:rFonts w:ascii="等线(中文正文)" w:hAnsi="等线(中文正文)" w:cs="等线(中文正文)" w:eastAsia="等线(中文正文)"/>
          <w:b w:val="false"/>
          <w:i w:val="false"/>
          <w:sz w:val="20"/>
        </w:rPr>
        <w:t>对话围绕小鹏机器人选择商业场景作为首个落地点的原因、目标客户及后续工业和家庭场景的拓展计划展开。强调了机器人四大核心能力的融合，旨在服务多元行业，并通过开放SDK支持生态功能拓展，实现线上线下渠道的共享与创新。</w:t>
      </w:r>
    </w:p>
    <w:p>
      <w:r>
        <w:rPr>
          <w:rFonts w:ascii="等线(中文正文)" w:hAnsi="等线(中文正文)" w:cs="等线(中文正文)" w:eastAsia="等线(中文正文)"/>
          <w:b w:val="false"/>
          <w:i w:val="false"/>
          <w:sz w:val="20"/>
        </w:rPr>
        <w:t/>
      </w:r>
    </w:p>
    <w:p>
      <w:pPr>
        <w:pStyle w:val="ab"/>
        <w:numPr>
          <w:numId w:val="19"/>
        </w:numPr>
      </w:pPr>
      <w:r>
        <w:t>01:07:44 机器人公司商业化路径与灵巧手研发进展</w:t>
      </w:r>
    </w:p>
    <w:p>
      <w:r>
        <w:rPr>
          <w:rFonts w:ascii="等线(中文正文)" w:hAnsi="等线(中文正文)" w:cs="等线(中文正文)" w:eastAsia="等线(中文正文)"/>
          <w:b w:val="false"/>
          <w:i w:val="false"/>
          <w:sz w:val="20"/>
        </w:rPr>
        <w:t>对话讨论了机器人公司通过不同规模的商业案例进入市场的策略，以及自研灵巧手的设计方案和行业对比，强调了在性能、成本、安全性和可靠性上的平衡，计划年底实现规模量产。</w:t>
      </w:r>
    </w:p>
    <w:p>
      <w:r>
        <w:rPr>
          <w:rFonts w:ascii="等线(中文正文)" w:hAnsi="等线(中文正文)" w:cs="等线(中文正文)" w:eastAsia="等线(中文正文)"/>
          <w:b w:val="false"/>
          <w:i w:val="false"/>
          <w:sz w:val="20"/>
        </w:rPr>
        <w:t/>
      </w:r>
    </w:p>
    <w:p>
      <w:pPr>
        <w:pStyle w:val="ab"/>
        <w:numPr>
          <w:numId w:val="20"/>
        </w:numPr>
      </w:pPr>
      <w:r>
        <w:t>01:12:31 机器人手部技术与ASLA海外业务拓展讨论</w:t>
      </w:r>
    </w:p>
    <w:p>
      <w:r>
        <w:rPr>
          <w:rFonts w:ascii="等线(中文正文)" w:hAnsi="等线(中文正文)" w:cs="等线(中文正文)" w:eastAsia="等线(中文正文)"/>
          <w:b w:val="false"/>
          <w:i w:val="false"/>
          <w:sz w:val="20"/>
        </w:rPr>
        <w:t>对话围绕机器人手部技术的重要性和特点展开，强调了其在安全性、可靠性、易维护性和成本方面的平衡。随后，讨论转向ASLA的海外业务，特别是关于L03车型搭载图灵芯片在海外市场的应用，以及公司正在探索的软件订阅商业模式，旨在通过与合作伙伴的协作，将VUA技术推向全球市场，创造更多收入潜力。</w:t>
      </w:r>
    </w:p>
    <w:p>
      <w:r>
        <w:rPr>
          <w:rFonts w:ascii="等线(中文正文)" w:hAnsi="等线(中文正文)" w:cs="等线(中文正文)" w:eastAsia="等线(中文正文)"/>
          <w:b w:val="false"/>
          <w:i w:val="false"/>
          <w:sz w:val="20"/>
        </w:rPr>
        <w:t/>
      </w:r>
    </w:p>
    <w:p>
      <w:pPr>
        <w:pStyle w:val="ab"/>
        <w:numPr>
          <w:numId w:val="21"/>
        </w:numPr>
      </w:pPr>
      <w:r>
        <w:t>01:18:24 人形机器人业务盈利展望与财务拆分计划</w:t>
      </w:r>
    </w:p>
    <w:p>
      <w:r>
        <w:rPr>
          <w:rFonts w:ascii="等线(中文正文)" w:hAnsi="等线(中文正文)" w:cs="等线(中文正文)" w:eastAsia="等线(中文正文)"/>
          <w:b w:val="false"/>
          <w:i w:val="false"/>
          <w:sz w:val="20"/>
        </w:rPr>
        <w:t>讨论了人形机器人业务的盈利性展望，预计该业务将比汽车业务具有更高的增长潜力和利润率，尤其是在AI模型训练升级及软件能力相关收入方面。目前，机器人业务与汽车业务共同运营，未来可能依据十八个月的计划逐步分离，但财务报表仍会合并。短期内，两家业务将被视为整体看待，随着生产与商业化进程的明确，未来可能考虑更细致的业务拆分。</w:t>
      </w:r>
    </w:p>
    <w:p>
      <w:r>
        <w:rPr>
          <w:rFonts w:ascii="等线(中文正文)" w:hAnsi="等线(中文正文)" w:cs="等线(中文正文)" w:eastAsia="等线(中文正文)"/>
          <w:b w:val="false"/>
          <w:i w:val="false"/>
          <w:sz w:val="20"/>
        </w:rPr>
        <w:t/>
      </w:r>
    </w:p>
    <w:p>
      <w:pPr>
        <w:pStyle w:val="a7"/>
      </w:pPr>
      <w:r>
        <w:t>发言总结</w:t>
      </w:r>
    </w:p>
    <w:p>
      <w:pPr>
        <w:pStyle w:val="ab"/>
        <w:numPr>
          <w:numId w:val="22"/>
        </w:numPr>
      </w:pPr>
      <w:r>
        <w:t>发言人1</w:t>
      </w:r>
    </w:p>
    <w:p>
      <w:r>
        <w:rPr>
          <w:rFonts w:ascii="等线(中文正文)" w:hAnsi="等线(中文正文)" w:cs="等线(中文正文)" w:eastAsia="等线(中文正文)"/>
          <w:b w:val="false"/>
          <w:i w:val="false"/>
          <w:sz w:val="20"/>
        </w:rPr>
        <w:t>他首先对提问者表示感谢，并强调公司对机器人业务的积极态度和实现预定生产目标的承诺。他提到尽管对机器人业务的高增长潜力持乐观态度，但目前尚无法提供具体销售预测或盈利指导，同时强调机器人业务相比汽车业务具有更高的硬件收益潜力和利润率，且资本支出较低，有利于加速盈利。目前，机器人业务和汽车业务仍在共同运营，但公司拥有18个月的时间来准备可能的业务分离。他还讨论了公司第二季度的财务表现，包括收入增长、毛利率改善以及亏损情况，并强调了机器人项目的重要进展和成本、定价策略及预期毛利率的展望。此外，他分享了小鹏在AI硬件、自动驾驶技术以及机器人业务自研能力方面的发展，特别强调了小鹏机器人（铁人）的独特优势和在智能电动车领域积累的技术应用。他还提到了小鹏汽车第二季度的交付量和财务状况，以及集团的全球化战略和对未来财务预测的期望。最后，他介绍了集团财务副董事长James对第二季度财务表现的概述，包括总收入和汽车销售收入的同比增长。</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问：小鹏集团的人形继承业务首轮融资情况如何？</w:t>
      </w:r>
    </w:p>
    <w:p>
      <w:r>
        <w:rPr>
          <w:rFonts w:ascii="等线(中文正文)" w:hAnsi="等线(中文正文)" w:cs="等线(中文正文)" w:eastAsia="等线(中文正文)"/>
          <w:b w:val="false"/>
          <w:i w:val="false"/>
          <w:sz w:val="20"/>
        </w:rPr>
        <w:t>发言人1 答：小鹏集团的人形继承业务宣布了首轮融资，获得了超过9亿美元的融资，投后估值达到63亿美元，刷新了中国人体继承行业的私募融资记录。</w:t>
      </w:r>
    </w:p>
    <w:p>
      <w:r>
        <w:rPr>
          <w:rFonts w:ascii="等线(中文正文)" w:hAnsi="等线(中文正文)" w:cs="等线(中文正文)" w:eastAsia="等线(中文正文)"/>
          <w:b w:val="false"/>
          <w:i w:val="false"/>
          <w:sz w:val="20"/>
        </w:rPr>
        <w:t/>
      </w:r>
    </w:p>
    <w:p>
      <w:pPr>
        <w:pStyle w:val="ab"/>
      </w:pPr>
      <w:r>
        <w:t>发言人1 问：本轮融资有哪些知名投资机构参与？小鹏集团在物理AI领域的领先地位得到了怎样的体现？</w:t>
      </w:r>
    </w:p>
    <w:p>
      <w:r>
        <w:rPr>
          <w:rFonts w:ascii="等线(中文正文)" w:hAnsi="等线(中文正文)" w:cs="等线(中文正文)" w:eastAsia="等线(中文正文)"/>
          <w:b w:val="false"/>
          <w:i w:val="false"/>
          <w:sz w:val="20"/>
        </w:rPr>
        <w:t>发言人1 答：本轮融资由全球顶尖的投资机构发起，包括IDG领投，高榕参投，并得到了腾讯和阿里两家战略投资者的支持。此轮融资结果体现了资本市场对小鹏在物理AI领域的领先地位、技术路线、规模量产能力和长期商业价值的高度认同。</w:t>
      </w:r>
    </w:p>
    <w:p>
      <w:r>
        <w:rPr>
          <w:rFonts w:ascii="等线(中文正文)" w:hAnsi="等线(中文正文)" w:cs="等线(中文正文)" w:eastAsia="等线(中文正文)"/>
          <w:b w:val="false"/>
          <w:i w:val="false"/>
          <w:sz w:val="20"/>
        </w:rPr>
        <w:t/>
      </w:r>
    </w:p>
    <w:p>
      <w:pPr>
        <w:pStyle w:val="ab"/>
      </w:pPr>
      <w:r>
        <w:t>发言人1 问：您本人在小鹏集团内部的职责调整是什么？</w:t>
      </w:r>
    </w:p>
    <w:p>
      <w:r>
        <w:rPr>
          <w:rFonts w:ascii="等线(中文正文)" w:hAnsi="等线(中文正文)" w:cs="等线(中文正文)" w:eastAsia="等线(中文正文)"/>
          <w:b w:val="false"/>
          <w:i w:val="false"/>
          <w:sz w:val="20"/>
        </w:rPr>
        <w:t>发言人1 答：从今年六月开始，除了担任小鹏CEO外，我还亲自负责人形继承业务的CEO，整合全集团优势资源投入到这项业务中。</w:t>
      </w:r>
    </w:p>
    <w:p>
      <w:r>
        <w:rPr>
          <w:rFonts w:ascii="等线(中文正文)" w:hAnsi="等线(中文正文)" w:cs="等线(中文正文)" w:eastAsia="等线(中文正文)"/>
          <w:b w:val="false"/>
          <w:i w:val="false"/>
          <w:sz w:val="20"/>
        </w:rPr>
        <w:t/>
      </w:r>
    </w:p>
    <w:p>
      <w:pPr>
        <w:pStyle w:val="ab"/>
      </w:pPr>
      <w:r>
        <w:t>发言人1 问：小鹏在机器人研发方面的技术和产品优势有哪些？小鹏机器人在智能方面搭载了什么配置？</w:t>
      </w:r>
    </w:p>
    <w:p>
      <w:r>
        <w:rPr>
          <w:rFonts w:ascii="等线(中文正文)" w:hAnsi="等线(中文正文)" w:cs="等线(中文正文)" w:eastAsia="等线(中文正文)"/>
          <w:b w:val="false"/>
          <w:i w:val="false"/>
          <w:sz w:val="20"/>
        </w:rPr>
        <w:t>发言人1 答：小鹏在机器人研发上有八年积累，所研发的机器人具有行业领先的理论状态与造型设计，拥有76个自由度的全包裹覆盖柔性的机身，单手灵巧手自由度为21个，均处于行业领先水平。此外，小鹏自主设计开发了AI原生硬件平台及全部核心零部件，并基于智能电动车研发制造体系打造车规级品质和大规模量产交付能力。小鹏机器人搭载3颗图灵AI芯片，有效算力高达2250TOPS，依托行业最大的本地算力，已成功部署物理AI大模型于端侧，无需云端支持即可自主完成复杂工作任务，且保证低时延和高数据安全。</w:t>
      </w:r>
    </w:p>
    <w:p>
      <w:r>
        <w:rPr>
          <w:rFonts w:ascii="等线(中文正文)" w:hAnsi="等线(中文正文)" w:cs="等线(中文正文)" w:eastAsia="等线(中文正文)"/>
          <w:b w:val="false"/>
          <w:i w:val="false"/>
          <w:sz w:val="20"/>
        </w:rPr>
        <w:t/>
      </w:r>
    </w:p>
    <w:p>
      <w:pPr>
        <w:pStyle w:val="ab"/>
      </w:pPr>
      <w:r>
        <w:t>发言人1 问：小鹏艾伦量产应用后将如何优化AI模型并提升其能力？</w:t>
      </w:r>
    </w:p>
    <w:p>
      <w:r>
        <w:rPr>
          <w:rFonts w:ascii="等线(中文正文)" w:hAnsi="等线(中文正文)" w:cs="等线(中文正文)" w:eastAsia="等线(中文正文)"/>
          <w:b w:val="false"/>
          <w:i w:val="false"/>
          <w:sz w:val="20"/>
        </w:rPr>
        <w:t>发言人1 答：小鹏艾伦作为首个量产应用的机器人，将在真实世界中通过海量真实场景的数据和人类的反馈加速AI模型训练迭代，持续提升模型能力，从而支持更多机器人进入更多场景，形成数据与模型应用的飞轮效应，让小鹏艾伦在真实世界中加速进化。</w:t>
      </w:r>
    </w:p>
    <w:p>
      <w:r>
        <w:rPr>
          <w:rFonts w:ascii="等线(中文正文)" w:hAnsi="等线(中文正文)" w:cs="等线(中文正文)" w:eastAsia="等线(中文正文)"/>
          <w:b w:val="false"/>
          <w:i w:val="false"/>
          <w:sz w:val="20"/>
        </w:rPr>
        <w:t/>
      </w:r>
    </w:p>
    <w:p>
      <w:pPr>
        <w:pStyle w:val="ab"/>
      </w:pPr>
      <w:r>
        <w:t>发言人1 问：小鹏汽车近期在量产版本上有哪些重要的里程碑事件？</w:t>
      </w:r>
    </w:p>
    <w:p>
      <w:r>
        <w:rPr>
          <w:rFonts w:ascii="等线(中文正文)" w:hAnsi="等线(中文正文)" w:cs="等线(中文正文)" w:eastAsia="等线(中文正文)"/>
          <w:b w:val="false"/>
          <w:i w:val="false"/>
          <w:sz w:val="20"/>
        </w:rPr>
        <w:t>发言人1 答：我们面向量产的版本在近期已经达到了多个重要的里程碑。从下个月九月份开始，我们将逐步展示艾伦系列与众不同的能力，并计划从今年年底进入规模量产阶段，在小鹏的门店园区开始落地商业场景应用。预计在2027年，小鹏L将正式上市，面向零售和服务业场景的外部客户，在中国和海外进行规模交付。此外，明年的月产能会根据市场需求迅速提升到数千台美元。</w:t>
      </w:r>
    </w:p>
    <w:p>
      <w:r>
        <w:rPr>
          <w:rFonts w:ascii="等线(中文正文)" w:hAnsi="等线(中文正文)" w:cs="等线(中文正文)" w:eastAsia="等线(中文正文)"/>
          <w:b w:val="false"/>
          <w:i w:val="false"/>
          <w:sz w:val="20"/>
        </w:rPr>
        <w:t/>
      </w:r>
    </w:p>
    <w:p>
      <w:pPr>
        <w:pStyle w:val="ab"/>
      </w:pPr>
      <w:r>
        <w:t>发言人1 问：艾伦在全生命周期内的收入和毛利贡献预计会如何表现？</w:t>
      </w:r>
    </w:p>
    <w:p>
      <w:r>
        <w:rPr>
          <w:rFonts w:ascii="等线(中文正文)" w:hAnsi="等线(中文正文)" w:cs="等线(中文正文)" w:eastAsia="等线(中文正文)"/>
          <w:b w:val="false"/>
          <w:i w:val="false"/>
          <w:sz w:val="20"/>
        </w:rPr>
        <w:t>发言人1 答：每一台艾伦在全生命周期内的收入和毛利贡献，包括硬件销售和软件AI模型能力相关的销售服务，都将带来持续性的收入流。这将大幅度高于当前汽车业务的单车均价和毛利。期待人形机器人在规模量产后，在国内外实现快速商业化落地，为我们带来可观的毛利增长，并支持我们对物理AI更大的投入，持续扩大技术领先优势。</w:t>
      </w:r>
    </w:p>
    <w:p>
      <w:r>
        <w:rPr>
          <w:rFonts w:ascii="等线(中文正文)" w:hAnsi="等线(中文正文)" w:cs="等线(中文正文)" w:eastAsia="等线(中文正文)"/>
          <w:b w:val="false"/>
          <w:i w:val="false"/>
          <w:sz w:val="20"/>
        </w:rPr>
        <w:t/>
      </w:r>
    </w:p>
    <w:p>
      <w:pPr>
        <w:pStyle w:val="ab"/>
      </w:pPr>
      <w:r>
        <w:t>发言人1 问：第二季度小鹏汽车的交付量和整体运营情况如何？全球化业务方面，小鹏汽车的表现和规划如何？</w:t>
      </w:r>
    </w:p>
    <w:p>
      <w:r>
        <w:rPr>
          <w:rFonts w:ascii="等线(中文正文)" w:hAnsi="等线(中文正文)" w:cs="等线(中文正文)" w:eastAsia="等线(中文正文)"/>
          <w:b w:val="false"/>
          <w:i w:val="false"/>
          <w:sz w:val="20"/>
        </w:rPr>
        <w:t>发言人1 答：第二季度，小鹏汽车的交付量为103,295台，环比增长65%，并且早于行业恢复进行同比增长。面对行业整体成本上升的压力，我们的经营继续保持稳健。得益于高端化和国际化的突破，第二季度小鹏的毛利率继续超过20%。全球化业务是小鹏汽车增长的第二曲线，也是盈利改善的重要驱动力。第二季度，海外销量首次突破2万台，同比增长81%。目前，小鹏海外业务在营收中的占比已突破25%，并且取得了很高的经营质量，平均售价超过4万欧元，单车收入和单车毛利均处于中国车企出海的领先水平。小鹏莫拉M03在德国慕尼黑面向全球发布后备受关注，预计四季度开始交付，将带动公司海外季度销量突破4万台。到2027年，我们还计划在海外推出多款明星车型，包括增程车型，进一步扩大小鹏在海外的地域覆盖和市场份额。</w:t>
      </w:r>
    </w:p>
    <w:p>
      <w:r>
        <w:rPr>
          <w:rFonts w:ascii="等线(中文正文)" w:hAnsi="等线(中文正文)" w:cs="等线(中文正文)" w:eastAsia="等线(中文正文)"/>
          <w:b w:val="false"/>
          <w:i w:val="false"/>
          <w:sz w:val="20"/>
        </w:rPr>
        <w:t/>
      </w:r>
    </w:p>
    <w:p>
      <w:pPr>
        <w:pStyle w:val="ab"/>
      </w:pPr>
      <w:r>
        <w:t>发言人1 问：小鹏GX和L03的表现以及后续产品规划是怎样的？</w:t>
      </w:r>
    </w:p>
    <w:p>
      <w:r>
        <w:rPr>
          <w:rFonts w:ascii="等线(中文正文)" w:hAnsi="等线(中文正文)" w:cs="等线(中文正文)" w:eastAsia="等线(中文正文)"/>
          <w:b w:val="false"/>
          <w:i w:val="false"/>
          <w:sz w:val="20"/>
        </w:rPr>
        <w:t>发言人1 答：科技豪华旗舰小鹏GX及L03在市场上取得了显著成功，其中L03在上市后成为现象级爆款产品，订单打破了小鹏所有车型的历史记录。同时，新增锁单量环比增长超过50%，创历史新高。我们已经开启了摩拉103的双班生产，并全力与供应链伙伴一起加速提升产能，预计交付量将在未来几个月大幅度提高。此外，大5座旗舰车型G9L将在九月份正式上市并启动交付，而小鹏莫拉L05也将在四季度在国内上市。随着四款全新SUV车型的上市，我们将实现对SUV主要细分市场的更好覆盖，预计四季度销量将大幅度提升，并有望单月销量突破6万。</w:t>
      </w:r>
    </w:p>
    <w:p>
      <w:r>
        <w:rPr>
          <w:rFonts w:ascii="等线(中文正文)" w:hAnsi="等线(中文正文)" w:cs="等线(中文正文)" w:eastAsia="等线(中文正文)"/>
          <w:b w:val="false"/>
          <w:i w:val="false"/>
          <w:sz w:val="20"/>
        </w:rPr>
        <w:t/>
      </w:r>
    </w:p>
    <w:p>
      <w:pPr>
        <w:pStyle w:val="ab"/>
      </w:pPr>
      <w:r>
        <w:t>发言人1 问：最新的第二代VA大模型有何重大升级和表现？</w:t>
      </w:r>
    </w:p>
    <w:p>
      <w:r>
        <w:rPr>
          <w:rFonts w:ascii="等线(中文正文)" w:hAnsi="等线(中文正文)" w:cs="等线(中文正文)" w:eastAsia="等线(中文正文)"/>
          <w:b w:val="false"/>
          <w:i w:val="false"/>
          <w:sz w:val="20"/>
        </w:rPr>
        <w:t>发言人1 答：从八月底开始，我们的第二代VA大模型将迎来首次重大的升级。在自动驾驶领域，新的6.3版本再次验证了自动驾驶体验的安全性和泛化性带来的巨大提升。此次更新，模型参数扩大了3.5倍，远超行业内常见小模型，并提高了300%的感知灵敏度，引入了超长时间推理预判能力及行业领先的帧率，让AI驾驶员具备更精准的视觉判断和快速反应能力。新版本还首次实现了VOA加VOM的仓联合，将部分四轮体验下放给用户，如通过语音实现靠边停车等功能，使车辆能在保持自动驾驶状态下自主安全地寻找停车位并完成泊车。</w:t>
      </w:r>
    </w:p>
    <w:p>
      <w:r>
        <w:rPr>
          <w:rFonts w:ascii="等线(中文正文)" w:hAnsi="等线(中文正文)" w:cs="等线(中文正文)" w:eastAsia="等线(中文正文)"/>
          <w:b w:val="false"/>
          <w:i w:val="false"/>
          <w:sz w:val="20"/>
        </w:rPr>
        <w:t/>
      </w:r>
    </w:p>
    <w:p>
      <w:pPr>
        <w:pStyle w:val="ab"/>
      </w:pPr>
      <w:r>
        <w:t>发言人1 问：What are the expected improvements for the Pilot system and when?</w:t>
      </w:r>
    </w:p>
    <w:p>
      <w:r>
        <w:rPr>
          <w:rFonts w:ascii="等线(中文正文)" w:hAnsi="等线(中文正文)" w:cs="等线(中文正文)" w:eastAsia="等线(中文正文)"/>
          <w:b w:val="false"/>
          <w:i w:val="false"/>
          <w:sz w:val="20"/>
        </w:rPr>
        <w:t>发言人1 答：The Pilot system is expected to experience further improvement with upgrades in computing power and model capabilities, potentially leading to an all four-level自动驾驶体验 in the subsequent versions.</w:t>
      </w:r>
    </w:p>
    <w:p>
      <w:r>
        <w:rPr>
          <w:rFonts w:ascii="等线(中文正文)" w:hAnsi="等线(中文正文)" w:cs="等线(中文正文)" w:eastAsia="等线(中文正文)"/>
          <w:b w:val="false"/>
          <w:i w:val="false"/>
          <w:sz w:val="20"/>
        </w:rPr>
        <w:t/>
      </w:r>
    </w:p>
    <w:p>
      <w:pPr>
        <w:pStyle w:val="ab"/>
      </w:pPr>
      <w:r>
        <w:t>发言人1 问：How does the new version of the Pilot system perform in China compared to友商 products?</w:t>
      </w:r>
    </w:p>
    <w:p>
      <w:r>
        <w:rPr>
          <w:rFonts w:ascii="等线(中文正文)" w:hAnsi="等线(中文正文)" w:cs="等线(中文正文)" w:eastAsia="等线(中文正文)"/>
          <w:b w:val="false"/>
          <w:i w:val="false"/>
          <w:sz w:val="20"/>
        </w:rPr>
        <w:t>发言人1 答：In China, the new second-generation Pilot (VI) is on par with leading global peers, performing comparably in various road conditions, including major roads, narrow roads, and parking facilities.</w:t>
      </w:r>
    </w:p>
    <w:p>
      <w:r>
        <w:rPr>
          <w:rFonts w:ascii="等线(中文正文)" w:hAnsi="等线(中文正文)" w:cs="等线(中文正文)" w:eastAsia="等线(中文正文)"/>
          <w:b w:val="false"/>
          <w:i w:val="false"/>
          <w:sz w:val="20"/>
        </w:rPr>
        <w:t/>
      </w:r>
    </w:p>
    <w:p>
      <w:pPr>
        <w:pStyle w:val="ab"/>
      </w:pPr>
      <w:r>
        <w:t>发言人1 问：What progress has been made in the deployment of the second-generation Pilot system internationally?What is the planned timeline for the European release of the second-generation Pilot system?</w:t>
      </w:r>
    </w:p>
    <w:p>
      <w:r>
        <w:rPr>
          <w:rFonts w:ascii="等线(中文正文)" w:hAnsi="等线(中文正文)" w:cs="等线(中文正文)" w:eastAsia="等线(中文正文)"/>
          <w:b w:val="false"/>
          <w:i w:val="false"/>
          <w:sz w:val="20"/>
        </w:rPr>
        <w:t>发言人1 答：The second-generation Pilot system has completed localisation验收测试 in Germany with successful results. The goal is to obtain regulatory approval in Europe by the first half of 2027 and to begin delivering the system to more countries.The timeline for the European release of the second-generation Pilot system includes obtaining regulatory approval in the first half of 2027 and starting to deliver the system to various countries.</w:t>
      </w:r>
    </w:p>
    <w:p>
      <w:r>
        <w:rPr>
          <w:rFonts w:ascii="等线(中文正文)" w:hAnsi="等线(中文正文)" w:cs="等线(中文正文)" w:eastAsia="等线(中文正文)"/>
          <w:b w:val="false"/>
          <w:i w:val="false"/>
          <w:sz w:val="20"/>
        </w:rPr>
        <w:t/>
      </w:r>
    </w:p>
    <w:p>
      <w:pPr>
        <w:pStyle w:val="ab"/>
      </w:pPr>
      <w:r>
        <w:t>发言人1 问：What accomplishments have been made with the development of the robot taxi featuring the Pilot system?</w:t>
      </w:r>
    </w:p>
    <w:p>
      <w:r>
        <w:rPr>
          <w:rFonts w:ascii="等线(中文正文)" w:hAnsi="等线(中文正文)" w:cs="等线(中文正文)" w:eastAsia="等线(中文正文)"/>
          <w:b w:val="false"/>
          <w:i w:val="false"/>
          <w:sz w:val="20"/>
        </w:rPr>
        <w:t>发言人1 答：The robot taxi featuring the Pilot system has completed over 2000 internal test orders in Guangzhou and has run through the全流程载人示范运营, setting the stage for commercial operation. The company has also developed a cloud-based takeover platform and aims to start passenger operations without a safety operator by next year.</w:t>
      </w:r>
    </w:p>
    <w:p>
      <w:r>
        <w:rPr>
          <w:rFonts w:ascii="等线(中文正文)" w:hAnsi="等线(中文正文)" w:cs="等线(中文正文)" w:eastAsia="等线(中文正文)"/>
          <w:b w:val="false"/>
          <w:i w:val="false"/>
          <w:sz w:val="20"/>
        </w:rPr>
        <w:t/>
      </w:r>
    </w:p>
    <w:p>
      <w:pPr>
        <w:pStyle w:val="ab"/>
      </w:pPr>
      <w:r>
        <w:t>发言人1 问：How does the company plan to use its AI technologies internationally?</w:t>
      </w:r>
    </w:p>
    <w:p>
      <w:r>
        <w:rPr>
          <w:rFonts w:ascii="等线(中文正文)" w:hAnsi="等线(中文正文)" w:cs="等线(中文正文)" w:eastAsia="等线(中文正文)"/>
          <w:b w:val="false"/>
          <w:i w:val="false"/>
          <w:sz w:val="20"/>
        </w:rPr>
        <w:t>发言人1 答：The company plans to utilize its AI technologies, including the Turing AI chips, LA two point zero models, and energy integration technology, in global markets by forming partnerships and aiming for quicker commercialization.</w:t>
      </w:r>
    </w:p>
    <w:p>
      <w:r>
        <w:rPr>
          <w:rFonts w:ascii="等线(中文正文)" w:hAnsi="等线(中文正文)" w:cs="等线(中文正文)" w:eastAsia="等线(中文正文)"/>
          <w:b w:val="false"/>
          <w:i w:val="false"/>
          <w:sz w:val="20"/>
        </w:rPr>
        <w:t/>
      </w:r>
    </w:p>
    <w:p>
      <w:pPr>
        <w:pStyle w:val="ab"/>
      </w:pPr>
      <w:r>
        <w:t>发言人1 问：What are the financial expectations for the third quarter of 2026?What is the financial performance of the second quarter of 2026?</w:t>
      </w:r>
    </w:p>
    <w:p>
      <w:r>
        <w:rPr>
          <w:rFonts w:ascii="等线(中文正文)" w:hAnsi="等线(中文正文)" w:cs="等线(中文正文)" w:eastAsia="等线(中文正文)"/>
          <w:b w:val="false"/>
          <w:i w:val="false"/>
          <w:sz w:val="20"/>
        </w:rPr>
        <w:t>发言人1 答：For the third quarter of 2026, the company expects deliveries to be around 115,000 to 121,000 units, with revenue expected to be between RMB271 billion to RMB234 billion. This is anticipated to be supported by a boost in both domestic and overseas sales, as well as the deployment of high-end intelligent辅助驾驶 technology.For the second quarter of 2026, total revenues were RMB19.74 billion, an increase of 8% year over year and 51.5% quarter over quarter. Vehicle sales revenues were RMB17.05 billion, with a quarterly increase of 55%. Service and other revenues were RMB2.7 billion, up 93.9% year over year and 33.6% quarter over quarter. The quarterly and year over year increases were primarily due to higher vehicle deliveries and technological service revenues. The company also experienced a decrease in production generation transition, while R&amp;D expenses rose 32.1% year over year and 3.3% quarter over quarter, and selling, general, and administrative expenses increased 15.2% year over year and 32.5% quarter over quarter. The net loss was RMB134 million, compared with a net loss of RMB480 million in the same period of 2025 and RMB1.7 billion in the first quarter of 2026.</w:t>
      </w:r>
    </w:p>
    <w:p>
      <w:r>
        <w:rPr>
          <w:rFonts w:ascii="等线(中文正文)" w:hAnsi="等线(中文正文)" w:cs="等线(中文正文)" w:eastAsia="等线(中文正文)"/>
          <w:b w:val="false"/>
          <w:i w:val="false"/>
          <w:sz w:val="20"/>
        </w:rPr>
        <w:t/>
      </w:r>
    </w:p>
    <w:p>
      <w:pPr>
        <w:pStyle w:val="ab"/>
      </w:pPr>
      <w:r>
        <w:t>发言人1 问：What are the different types of models in robotics according to the speaker?</w:t>
      </w:r>
    </w:p>
    <w:p>
      <w:r>
        <w:rPr>
          <w:rFonts w:ascii="等线(中文正文)" w:hAnsi="等线(中文正文)" w:cs="等线(中文正文)" w:eastAsia="等线(中文正文)"/>
          <w:b w:val="false"/>
          <w:i w:val="false"/>
          <w:sz w:val="20"/>
        </w:rPr>
        <w:t>发言人1 答：The speaker mentions different types of models in robotics, including superfast models operating at one hundred or several hundred frames per second, medium speed models, large models operating at ten to twenty frames per second, and slow large models called 'thinking large models' operating at one frame per second.</w:t>
      </w:r>
    </w:p>
    <w:p>
      <w:r>
        <w:rPr>
          <w:rFonts w:ascii="等线(中文正文)" w:hAnsi="等线(中文正文)" w:cs="等线(中文正文)" w:eastAsia="等线(中文正文)"/>
          <w:b w:val="false"/>
          <w:i w:val="false"/>
          <w:sz w:val="20"/>
        </w:rPr>
        <w:t/>
      </w:r>
    </w:p>
    <w:p>
      <w:pPr>
        <w:pStyle w:val="ab"/>
      </w:pPr>
      <w:r>
        <w:t>发言人1 问：What similarities exist between the systems used in robots and the business sector according to the speaker?</w:t>
      </w:r>
    </w:p>
    <w:p>
      <w:r>
        <w:rPr>
          <w:rFonts w:ascii="等线(中文正文)" w:hAnsi="等线(中文正文)" w:cs="等线(中文正文)" w:eastAsia="等线(中文正文)"/>
          <w:b w:val="false"/>
          <w:i w:val="false"/>
          <w:sz w:val="20"/>
        </w:rPr>
        <w:t>发言人1 答：The speaker indicates that there are similarities between the systems used in robots and the business sector such as in model generative models, live simulation models, and data safety aspects including prevention of folding and lack of electricity. These features are being developed under one large system in the context of the business.</w:t>
      </w:r>
    </w:p>
    <w:p>
      <w:r>
        <w:rPr>
          <w:rFonts w:ascii="等线(中文正文)" w:hAnsi="等线(中文正文)" w:cs="等线(中文正文)" w:eastAsia="等线(中文正文)"/>
          <w:b w:val="false"/>
          <w:i w:val="false"/>
          <w:sz w:val="20"/>
        </w:rPr>
        <w:t/>
      </w:r>
    </w:p>
    <w:p>
      <w:pPr>
        <w:pStyle w:val="ab"/>
      </w:pPr>
      <w:r>
        <w:t>发言人1 问：How does the speaker believe data will play a role in the future of physical AI?</w:t>
      </w:r>
    </w:p>
    <w:p>
      <w:r>
        <w:rPr>
          <w:rFonts w:ascii="等线(中文正文)" w:hAnsi="等线(中文正文)" w:cs="等线(中文正文)" w:eastAsia="等线(中文正文)"/>
          <w:b w:val="false"/>
          <w:i w:val="false"/>
          <w:sz w:val="20"/>
        </w:rPr>
        <w:t>发言人1 答：The speaker believes that data will be a key element for physical AI in the future, being a necessary condition for good performance. They note that having sufficient data is not sufficient on its own and requires careful management and training to achieve the best results.</w:t>
      </w:r>
    </w:p>
    <w:p>
      <w:r>
        <w:rPr>
          <w:rFonts w:ascii="等线(中文正文)" w:hAnsi="等线(中文正文)" w:cs="等线(中文正文)" w:eastAsia="等线(中文正文)"/>
          <w:b w:val="false"/>
          <w:i w:val="false"/>
          <w:sz w:val="20"/>
        </w:rPr>
        <w:t/>
      </w:r>
    </w:p>
    <w:p>
      <w:pPr>
        <w:pStyle w:val="ab"/>
      </w:pPr>
      <w:r>
        <w:t>发言人1 问：What differentiates the approach to data in robotics at X compared to other companies?</w:t>
      </w:r>
    </w:p>
    <w:p>
      <w:r>
        <w:rPr>
          <w:rFonts w:ascii="等线(中文正文)" w:hAnsi="等线(中文正文)" w:cs="等线(中文正文)" w:eastAsia="等线(中文正文)"/>
          <w:b w:val="false"/>
          <w:i w:val="false"/>
          <w:sz w:val="20"/>
        </w:rPr>
        <w:t>发言人1 答：The approach to data in robotics at X is differentiated by the company's extensive experience in autonomous driving for over ten years and leading data collection efforts in the industry. The data management, training, and entire framework for robots are developed within the same ecosystem as the company's vehicles, and the robots use the same data collection hardware. The company is expected to collect high-quality data from real scenes and human interactions, which will drive the development of their robots.</w:t>
      </w:r>
    </w:p>
    <w:p>
      <w:r>
        <w:rPr>
          <w:rFonts w:ascii="等线(中文正文)" w:hAnsi="等线(中文正文)" w:cs="等线(中文正文)" w:eastAsia="等线(中文正文)"/>
          <w:b w:val="false"/>
          <w:i w:val="false"/>
          <w:sz w:val="20"/>
        </w:rPr>
        <w:t/>
      </w:r>
    </w:p>
    <w:p>
      <w:pPr>
        <w:pStyle w:val="ab"/>
      </w:pPr>
      <w:r>
        <w:t>发言人1 问：What is the importance of data quality in developing robots, according to the speaker?</w:t>
      </w:r>
    </w:p>
    <w:p>
      <w:r>
        <w:rPr>
          <w:rFonts w:ascii="等线(中文正文)" w:hAnsi="等线(中文正文)" w:cs="等线(中文正文)" w:eastAsia="等线(中文正文)"/>
          <w:b w:val="false"/>
          <w:i w:val="false"/>
          <w:sz w:val="20"/>
        </w:rPr>
        <w:t>发言人1 答：The speaker emphasizes the importance of data quality in developing robots, stating that high-quality data is crucial for the successful integration of AI. They believe that using high-quality data will ensure that AI models in robots perform well in real-world scenarios.</w:t>
      </w:r>
    </w:p>
    <w:p>
      <w:r>
        <w:rPr>
          <w:rFonts w:ascii="等线(中文正文)" w:hAnsi="等线(中文正文)" w:cs="等线(中文正文)" w:eastAsia="等线(中文正文)"/>
          <w:b w:val="false"/>
          <w:i w:val="false"/>
          <w:sz w:val="20"/>
        </w:rPr>
        <w:t/>
      </w:r>
    </w:p>
    <w:p>
      <w:pPr>
        <w:pStyle w:val="ab"/>
      </w:pPr>
      <w:r>
        <w:t>发言人1 问：Why did the company choose to enter the sales and tour guide market segments with its robots?</w:t>
      </w:r>
    </w:p>
    <w:p>
      <w:r>
        <w:rPr>
          <w:rFonts w:ascii="等线(中文正文)" w:hAnsi="等线(中文正文)" w:cs="等线(中文正文)" w:eastAsia="等线(中文正文)"/>
          <w:b w:val="false"/>
          <w:i w:val="false"/>
          <w:sz w:val="20"/>
        </w:rPr>
        <w:t>发言人1 答：The company chose to enter the sales and tour guide market segments with its robots because it is the easiest to combine four key capabilities of the robots: the robot's own body, environment perception, business provision, and the value it brings. These capabilities are seen as most conducive to commercial application and can serve various industries. The company plans to start with a select few industries and will initially focus on commercial use cases before expanding to industrial and家庭 scenarios.</w:t>
      </w:r>
    </w:p>
    <w:p>
      <w:r>
        <w:rPr>
          <w:rFonts w:ascii="等线(中文正文)" w:hAnsi="等线(中文正文)" w:cs="等线(中文正文)" w:eastAsia="等线(中文正文)"/>
          <w:b w:val="false"/>
          <w:i w:val="false"/>
          <w:sz w:val="20"/>
        </w:rPr>
        <w:t/>
      </w:r>
    </w:p>
    <w:p>
      <w:pPr>
        <w:pStyle w:val="ab"/>
      </w:pPr>
      <w:r>
        <w:t>发言人1 问：What are the future plans of the company for the industrial and家庭 use cases with its robots?</w:t>
      </w:r>
    </w:p>
    <w:p>
      <w:r>
        <w:rPr>
          <w:rFonts w:ascii="等线(中文正文)" w:hAnsi="等线(中文正文)" w:cs="等线(中文正文)" w:eastAsia="等线(中文正文)"/>
          <w:b w:val="false"/>
          <w:i w:val="false"/>
          <w:sz w:val="20"/>
        </w:rPr>
        <w:t>发言人1 答：The company's future plans for the industrial and family use cases with its robots involve starting with a limited range of business applications and gradually expanding to include industrial and household settings. The company will use a minimal set of SKUs to achieve this. They intend to first enter the market through commercial use cases and then open up the market by enabling SDK support for developers and expanding use cases through collaborations. The company aims to leverage its comprehensive channel strategy, combining both online and offline sales to reach a diverse customer base including large and small businesses.</w:t>
      </w:r>
    </w:p>
    <w:p>
      <w:r>
        <w:rPr>
          <w:rFonts w:ascii="等线(中文正文)" w:hAnsi="等线(中文正文)" w:cs="等线(中文正文)" w:eastAsia="等线(中文正文)"/>
          <w:b w:val="false"/>
          <w:i w:val="false"/>
          <w:sz w:val="20"/>
        </w:rPr>
        <w:t/>
      </w:r>
    </w:p>
    <w:p>
      <w:pPr>
        <w:pStyle w:val="ab"/>
      </w:pPr>
      <w:r>
        <w:t>发言人1 问：How does the company plan to integrate the new 'smart hand' into its product line?</w:t>
      </w:r>
    </w:p>
    <w:p>
      <w:r>
        <w:rPr>
          <w:rFonts w:ascii="等线(中文正文)" w:hAnsi="等线(中文正文)" w:cs="等线(中文正文)" w:eastAsia="等线(中文正文)"/>
          <w:b w:val="false"/>
          <w:i w:val="false"/>
          <w:sz w:val="20"/>
        </w:rPr>
        <w:t>发言人1 答：The new 'smart hand' will be included in all models after the G9, with a European version available for the海外市场。The company has also mentioned that this advanced hardware capability will be retroactively applied to the G3, P7, and upcoming models.</w:t>
      </w:r>
    </w:p>
    <w:p>
      <w:r>
        <w:rPr>
          <w:rFonts w:ascii="等线(中文正文)" w:hAnsi="等线(中文正文)" w:cs="等线(中文正文)" w:eastAsia="等线(中文正文)"/>
          <w:b w:val="false"/>
          <w:i w:val="false"/>
          <w:sz w:val="20"/>
        </w:rPr>
        <w:t/>
      </w:r>
    </w:p>
    <w:p>
      <w:pPr>
        <w:pStyle w:val="ab"/>
      </w:pPr>
      <w:r>
        <w:t>发言人1 问：What is the current status of the company's self-researched 'smart hand' project?</w:t>
      </w:r>
    </w:p>
    <w:p>
      <w:r>
        <w:rPr>
          <w:rFonts w:ascii="等线(中文正文)" w:hAnsi="等线(中文正文)" w:cs="等线(中文正文)" w:eastAsia="等线(中文正文)"/>
          <w:b w:val="false"/>
          <w:i w:val="false"/>
          <w:sz w:val="20"/>
        </w:rPr>
        <w:t>发言人1 答：The company's self-researched 'smart hand', which is similar to human hands with 21 degrees of freedom and a size comparable to an adult's hand, is nearing completion. The development is proceeding smoothly and is expected to commence scale production by the end of the year, in line with the whole robot system.</w:t>
      </w:r>
    </w:p>
    <w:p>
      <w:r>
        <w:rPr>
          <w:rFonts w:ascii="等线(中文正文)" w:hAnsi="等线(中文正文)" w:cs="等线(中文正文)" w:eastAsia="等线(中文正文)"/>
          <w:b w:val="false"/>
          <w:i w:val="false"/>
          <w:sz w:val="20"/>
        </w:rPr>
        <w:t/>
      </w:r>
    </w:p>
    <w:p>
      <w:pPr>
        <w:pStyle w:val="ab"/>
      </w:pPr>
      <w:r>
        <w:t>发言人1 问：What distinguishes the company's approach to developing the 'smart hand'?</w:t>
      </w:r>
    </w:p>
    <w:p>
      <w:r>
        <w:rPr>
          <w:rFonts w:ascii="等线(中文正文)" w:hAnsi="等线(中文正文)" w:cs="等线(中文正文)" w:eastAsia="等线(中文正文)"/>
          <w:b w:val="false"/>
          <w:i w:val="false"/>
          <w:sz w:val="20"/>
        </w:rPr>
        <w:t>发言人1 答：The company's approach to developing the 'smart hand' focuses on balance rather than solely追求高力量或精度。This includes considerations for safety, reliability, easy maintenance, cost-effectiveness, and the ability to achieve mass production.</w:t>
      </w:r>
    </w:p>
    <w:p>
      <w:r>
        <w:rPr>
          <w:rFonts w:ascii="等线(中文正文)" w:hAnsi="等线(中文正文)" w:cs="等线(中文正文)" w:eastAsia="等线(中文正文)"/>
          <w:b w:val="false"/>
          <w:i w:val="false"/>
          <w:sz w:val="20"/>
        </w:rPr>
        <w:t/>
      </w:r>
    </w:p>
    <w:p>
      <w:pPr>
        <w:pStyle w:val="ab"/>
      </w:pPr>
      <w:r>
        <w:t>发言人1 问：What is the company's strategy for the commercial release of the new 'smart hand' technology?</w:t>
      </w:r>
    </w:p>
    <w:p>
      <w:r>
        <w:rPr>
          <w:rFonts w:ascii="等线(中文正文)" w:hAnsi="等线(中文正文)" w:cs="等线(中文正文)" w:eastAsia="等线(中文正文)"/>
          <w:b w:val="false"/>
          <w:i w:val="false"/>
          <w:sz w:val="20"/>
        </w:rPr>
        <w:t>发言人1 答：The company is exploring a subscription-based software business model for the new 'smart hand' technology. They are in the process of forming a dedicated Business Development (BD) team and have already started discussions with multiple partners for global expansion of the technology.</w:t>
      </w:r>
    </w:p>
    <w:p>
      <w:r>
        <w:rPr>
          <w:rFonts w:ascii="等线(中文正文)" w:hAnsi="等线(中文正文)" w:cs="等线(中文正文)" w:eastAsia="等线(中文正文)"/>
          <w:b w:val="false"/>
          <w:i w:val="false"/>
          <w:sz w:val="20"/>
        </w:rPr>
        <w:t/>
      </w:r>
    </w:p>
    <w:p>
      <w:pPr>
        <w:pStyle w:val="ab"/>
      </w:pPr>
      <w:r>
        <w:t>发言人1 问：Does the company have plans to separately report the profits from the humanoid robot and vehicle businesses?</w:t>
      </w:r>
    </w:p>
    <w:p>
      <w:r>
        <w:rPr>
          <w:rFonts w:ascii="等线(中文正文)" w:hAnsi="等线(中文正文)" w:cs="等线(中文正文)" w:eastAsia="等线(中文正文)"/>
          <w:b w:val="false"/>
          <w:i w:val="false"/>
          <w:sz w:val="20"/>
        </w:rPr>
        <w:t>发言人1 答：The company is focused on achieving the milestones shared by CEO Li, including SOP for a robot with foreign production capability by the end of the year. While it's too early to provide a volume prediction or profitability guidance, the company is confident in the potential for significant growth in profit from the humanoid robot business, which is expected to be more profitable than the current automotive business. Discussions regarding the potential separation of the businesses are still ongoing, but the decision has not been made as of yet.</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2026-08-24T14:21:22Z</dcterms:created>
  <dc:creator>Apache POI</dc:creator>
</cp:coreProperties>
</file>