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小赢科技[XYF.N]2026年第二季度业绩交流会 260824_导读</w:t>
      </w:r>
    </w:p>
    <w:p>
      <w:pPr>
        <w:pStyle w:val="a0"/>
        <w:jc w:val="center"/>
      </w:pPr>
      <w:r>
        <w:t>2026年08月24日 22:12</w:t>
      </w:r>
    </w:p>
    <w:p>
      <w:pPr>
        <w:pStyle w:val="a7"/>
      </w:pPr>
      <w:r>
        <w:t>关键词</w:t>
      </w:r>
    </w:p>
    <w:p>
      <w:r>
        <w:rPr>
          <w:rFonts w:ascii="等线(中文正文)" w:hAnsi="等线(中文正文)" w:cs="等线(中文正文)" w:eastAsia="等线(中文正文)"/>
          <w:b w:val="false"/>
          <w:i w:val="false"/>
          <w:sz w:val="20"/>
        </w:rPr>
        <w:t xml:space="preserve">Operator period RNB prior quarter guarantee income 关注公众号 financial performance consecutive quarter chief financial companies decline provision baLance business capital rate improved income taxes 思维纪要 credit losses remain chAllenging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公司在第二季度的财务结果显示，总收入为993.6百万人民币，同比及环比分别下降56.3%和15.5%。总营业成本和费用为728.6百万人民币，同比下降22.9%，环比下降50%。公司强调优化资本配置，专注于高质量贷款发放与成本控制，同时保持保守信用标准，以应对挑战。此外，公司宣布每股派发0.0467美元现金股息，并探讨了未来发展的机遇与挑战。</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公司第二季度财务业绩与运营发展概述</w:t>
      </w:r>
    </w:p>
    <w:p>
      <w:r>
        <w:rPr>
          <w:rFonts w:ascii="等线(中文正文)" w:hAnsi="等线(中文正文)" w:cs="等线(中文正文)" w:eastAsia="等线(中文正文)"/>
          <w:b w:val="false"/>
          <w:i w:val="false"/>
          <w:sz w:val="20"/>
        </w:rPr>
        <w:t>公司发布了截至六月三十日的第二季度财务结果，显示了业务表现和关键运营进展。尽管市场环境充满挑战，公司通过加强内部运营渠道，优化自动化服务和控制开支，维持了高质量的借款人和健康的财务状况。第二季度贷款发放额虽有所下降，但平均借款金额上升，表明借款人质量提升。同时，公司信贷质量出现积极改善，但仍保持谨慎态度，持续关注信贷标准，确保长期稳定。</w:t>
      </w:r>
    </w:p>
    <w:p>
      <w:r>
        <w:rPr>
          <w:rFonts w:ascii="等线(中文正文)" w:hAnsi="等线(中文正文)" w:cs="等线(中文正文)" w:eastAsia="等线(中文正文)"/>
          <w:b w:val="false"/>
          <w:i w:val="false"/>
          <w:sz w:val="20"/>
        </w:rPr>
        <w:t/>
      </w:r>
    </w:p>
    <w:p>
      <w:pPr>
        <w:pStyle w:val="ab"/>
        <w:numPr>
          <w:numId w:val="2"/>
        </w:numPr>
      </w:pPr>
      <w:r>
        <w:t>05:34 第二季度财务业绩汇报：收入下滑，运营改善</w:t>
      </w:r>
    </w:p>
    <w:p>
      <w:r>
        <w:rPr>
          <w:rFonts w:ascii="等线(中文正文)" w:hAnsi="等线(中文正文)" w:cs="等线(中文正文)" w:eastAsia="等线(中文正文)"/>
          <w:b w:val="false"/>
          <w:i w:val="false"/>
          <w:sz w:val="20"/>
        </w:rPr>
        <w:t>报告了第二季度的财务表现，总收入993.6百万人民币，同比下滑56.3%，环比下降15.5%。运营成本和费用为728.6百万人民币，同比降低22.9%，环比下降50%。信贷相关准备金183.1百万人民币，同比减少36.4%。尽管收入和利润大幅下降，但运营效率有所提升，连续两个季度运营表现改善。监管环境持续变化，公司正密切关注。</w:t>
      </w:r>
    </w:p>
    <w:p>
      <w:r>
        <w:rPr>
          <w:rFonts w:ascii="等线(中文正文)" w:hAnsi="等线(中文正文)" w:cs="等线(中文正文)" w:eastAsia="等线(中文正文)"/>
          <w:b w:val="false"/>
          <w:i w:val="false"/>
          <w:sz w:val="20"/>
        </w:rPr>
        <w:t/>
      </w:r>
    </w:p>
    <w:p>
      <w:pPr>
        <w:pStyle w:val="ab"/>
        <w:numPr>
          <w:numId w:val="3"/>
        </w:numPr>
      </w:pPr>
      <w:r>
        <w:t>09:43 第二季度财务回顾与资本回报展望</w:t>
      </w:r>
    </w:p>
    <w:p>
      <w:r>
        <w:rPr>
          <w:rFonts w:ascii="等线(中文正文)" w:hAnsi="等线(中文正文)" w:cs="等线(中文正文)" w:eastAsia="等线(中文正文)"/>
          <w:b w:val="false"/>
          <w:i w:val="false"/>
          <w:sz w:val="20"/>
        </w:rPr>
        <w:t>会议回顾了第二季度的财务表现，指出净收入同比下降56%，主要由于起始活动减少，但担保收入增长显著。调整后的利润显示改善迹象，资本状况稳健，股东权益和总现金充足。公司持续回购股票，并计划继续资本返还计划。展望未来，鉴于当前环境的不确定性，未提供第三季度的具体预测，强调成本控制和资本保护。</w:t>
      </w:r>
    </w:p>
    <w:p>
      <w:r>
        <w:rPr>
          <w:rFonts w:ascii="等线(中文正文)" w:hAnsi="等线(中文正文)" w:cs="等线(中文正文)" w:eastAsia="等线(中文正文)"/>
          <w:b w:val="false"/>
          <w:i w:val="false"/>
          <w:sz w:val="20"/>
        </w:rPr>
        <w:t/>
      </w:r>
    </w:p>
    <w:p>
      <w:pPr>
        <w:pStyle w:val="ab"/>
        <w:numPr>
          <w:numId w:val="4"/>
        </w:numPr>
      </w:pPr>
      <w:r>
        <w:t>16:24 公司为何选择保持上市而非私有化</w:t>
      </w:r>
    </w:p>
    <w:p>
      <w:r>
        <w:rPr>
          <w:rFonts w:ascii="等线(中文正文)" w:hAnsi="等线(中文正文)" w:cs="等线(中文正文)" w:eastAsia="等线(中文正文)"/>
          <w:b w:val="false"/>
          <w:i w:val="false"/>
          <w:sz w:val="20"/>
        </w:rPr>
        <w:t>对话围绕一家公司为何选择保持上市状态而非私有化展开，讨论了在中国市场上市的特殊地位和政府审批的复杂性。公司表示将继续寻找新的收入来源，优化运营效率，并通过回购股份和健康分红策略提升股东价值。尽管面临挑战，公司对未来的发展持乐观态度。</w:t>
      </w:r>
    </w:p>
    <w:p>
      <w:r>
        <w:rPr>
          <w:rFonts w:ascii="等线(中文正文)" w:hAnsi="等线(中文正文)" w:cs="等线(中文正文)" w:eastAsia="等线(中文正文)"/>
          <w:b w:val="false"/>
          <w:i w:val="false"/>
          <w:sz w:val="20"/>
        </w:rPr>
        <w:t/>
      </w:r>
    </w:p>
    <w:p>
      <w:pPr>
        <w:pStyle w:val="ab"/>
        <w:numPr>
          <w:numId w:val="5"/>
        </w:numPr>
      </w:pPr>
      <w:r>
        <w:t>22:03 财务解释与资本回报计划讨论</w:t>
      </w:r>
    </w:p>
    <w:p>
      <w:r>
        <w:rPr>
          <w:rFonts w:ascii="等线(中文正文)" w:hAnsi="等线(中文正文)" w:cs="等线(中文正文)" w:eastAsia="等线(中文正文)"/>
          <w:b w:val="false"/>
          <w:i w:val="false"/>
          <w:sz w:val="20"/>
        </w:rPr>
        <w:t>对话围绕财务报告中的变动进行了详细解释，包括容器担保负债准备金显著减少的原因，以及信用损失准备金激增的背景，涉及与金融机构的资金回收问题。同时，讨论了当前市场环境下企业暂无额外资本回报计划的现状，强调了公司遵循常规操作流程和规则。</w:t>
      </w:r>
    </w:p>
    <w:p>
      <w:r>
        <w:rPr>
          <w:rFonts w:ascii="等线(中文正文)" w:hAnsi="等线(中文正文)" w:cs="等线(中文正文)" w:eastAsia="等线(中文正文)"/>
          <w:b w:val="false"/>
          <w:i w:val="false"/>
          <w:sz w:val="20"/>
        </w:rPr>
        <w:t/>
      </w:r>
    </w:p>
    <w:p>
      <w:pPr>
        <w:pStyle w:val="a7"/>
      </w:pPr>
      <w:r>
        <w:t>发言总结</w:t>
      </w:r>
    </w:p>
    <w:p>
      <w:pPr>
        <w:pStyle w:val="ab"/>
        <w:numPr>
          <w:numId w:val="6"/>
        </w:numPr>
      </w:pPr>
      <w:r>
        <w:t>发言人1</w:t>
      </w:r>
    </w:p>
    <w:p>
      <w:r>
        <w:rPr>
          <w:rFonts w:ascii="等线(中文正文)" w:hAnsi="等线(中文正文)" w:cs="等线(中文正文)" w:eastAsia="等线(中文正文)"/>
          <w:b w:val="false"/>
          <w:i w:val="false"/>
          <w:sz w:val="20"/>
        </w:rPr>
        <w:t>首先对操作员表示感谢，并介绍了即将举行的电话会议的主要议程，即讨论公司第二季度的财务结果以及截止至2026年6月30日的财务表现。他特别指出，这些信息已经在公司的投资者关系网站上发布，并邀请参与者通过指定的电话线路听取高层管理者的发言，包括总裁Can Lee、首席财务官Frank Reagan和首席财务策略官Mr. Lee。会议内容将涵盖业务表现、关键运营发展、财务表现、资本状况以及前景展望。他也提醒听众，电话会议中的陈述包括根据1995年私人证券诉讼改革法案的前瞻性声明，这些声明基于管理层的当前预期，但实际结果可能与之有显著差异。
随后，他让位于Cotman进行财务结果、资本位置和前景的审查，重申了公司对财务结果的谨慎态度，并提醒可能会根据需要更新前瞻性声明，但公司没有义务除非法律规定。他接着介绍了Easter Kelly，强调了公司在面临挑战时维持运营的态势，强调了流动性、财务韧性和新业务模式的重要性。尽管放贷活动有所减少，但公司通过增加保证收入和减少信用损失准备金等措施，实现了财务表现的改善。他还提及了公司的资本回报计划，尽管市场环境复杂，公司仍致力于保持财务健康。</w:t>
      </w:r>
    </w:p>
    <w:p>
      <w:r>
        <w:rPr>
          <w:rFonts w:ascii="等线(中文正文)" w:hAnsi="等线(中文正文)" w:cs="等线(中文正文)" w:eastAsia="等线(中文正文)"/>
          <w:b w:val="false"/>
          <w:i w:val="false"/>
          <w:sz w:val="20"/>
        </w:rPr>
        <w:t/>
      </w:r>
    </w:p>
    <w:p>
      <w:pPr>
        <w:pStyle w:val="a7"/>
      </w:pPr>
      <w:r>
        <w:t>要点回顾</w:t>
      </w:r>
    </w:p>
    <w:p>
      <w:pPr>
        <w:pStyle w:val="ab"/>
      </w:pPr>
      <w:r>
        <w:t>What challenges did the company face in the second quarter of 2022?</w:t>
      </w:r>
    </w:p>
    <w:p>
      <w:r>
        <w:rPr>
          <w:rFonts w:ascii="等线(中文正文)" w:hAnsi="等线(中文正文)" w:cs="等线(中文正文)" w:eastAsia="等线(中文正文)"/>
          <w:b w:val="false"/>
          <w:i w:val="false"/>
          <w:sz w:val="20"/>
        </w:rPr>
        <w:t>发言人1：In the second quarter of 2022, the company faced challenges resulting in a year-over-year decline in revenue, a decrease in land facilitation volumes, and a need to maintain conservative standards due to the credit environment. Despite these challenges, the company experienced a decrease in sequential loss rates and an improvement in the credit quality of the portfolio.</w:t>
      </w:r>
    </w:p>
    <w:p>
      <w:r>
        <w:rPr>
          <w:rFonts w:ascii="等线(中文正文)" w:hAnsi="等线(中文正文)" w:cs="等线(中文正文)" w:eastAsia="等线(中文正文)"/>
          <w:b w:val="false"/>
          <w:i w:val="false"/>
          <w:sz w:val="20"/>
        </w:rPr>
        <w:t/>
      </w:r>
    </w:p>
    <w:p>
      <w:pPr>
        <w:pStyle w:val="ab"/>
      </w:pPr>
      <w:r>
        <w:t>How did the company's operational performance change in the second quarter compared to the prior year?</w:t>
      </w:r>
    </w:p>
    <w:p>
      <w:r>
        <w:rPr>
          <w:rFonts w:ascii="等线(中文正文)" w:hAnsi="等线(中文正文)" w:cs="等线(中文正文)" w:eastAsia="等线(中文正文)"/>
          <w:b w:val="false"/>
          <w:i w:val="false"/>
          <w:sz w:val="20"/>
        </w:rPr>
        <w:t>发言人1：The company's operational performance improved in the second quarter compared to the prior year, as reflected by a decrease in loss rates, a decrease in the volume of land facilitation, and an increase in income from operations. Despite the decline in revenue and profit margin, all other financial metrics such as provisions and income showed positive movements. Credit quality saw an encouraging secondary improvement, and the company maintained a conservative approach to credit underwriting and provisioning.</w:t>
      </w:r>
    </w:p>
    <w:p>
      <w:r>
        <w:rPr>
          <w:rFonts w:ascii="等线(中文正文)" w:hAnsi="等线(中文正文)" w:cs="等线(中文正文)" w:eastAsia="等线(中文正文)"/>
          <w:b w:val="false"/>
          <w:i w:val="false"/>
          <w:sz w:val="20"/>
        </w:rPr>
        <w:t/>
      </w:r>
    </w:p>
    <w:p>
      <w:pPr>
        <w:pStyle w:val="ab"/>
      </w:pPr>
      <w:r>
        <w:t>What is the company's approach to credit underwriting and provisioning?</w:t>
      </w:r>
    </w:p>
    <w:p>
      <w:r>
        <w:rPr>
          <w:rFonts w:ascii="等线(中文正文)" w:hAnsi="等线(中文正文)" w:cs="等线(中文正文)" w:eastAsia="等线(中文正文)"/>
          <w:b w:val="false"/>
          <w:i w:val="false"/>
          <w:sz w:val="20"/>
        </w:rPr>
        <w:t>发言人1：The company's approach to credit underwriting and provisioning in the second quarter of 2022 was to maintain conservative standards, especially in light of the challenging credit environment. This conservative strategy continued despite some positive developments in credit quality, indicating the company's cautious outlook and commitment to risk management.</w:t>
      </w:r>
    </w:p>
    <w:p>
      <w:r>
        <w:rPr>
          <w:rFonts w:ascii="等线(中文正文)" w:hAnsi="等线(中文正文)" w:cs="等线(中文正文)" w:eastAsia="等线(中文正文)"/>
          <w:b w:val="false"/>
          <w:i w:val="false"/>
          <w:sz w:val="20"/>
        </w:rPr>
        <w:t/>
      </w:r>
    </w:p>
    <w:p>
      <w:pPr>
        <w:pStyle w:val="ab"/>
      </w:pPr>
      <w:r>
        <w:t>What are the financial results for the second quarter of 2022 mentioned in the transcript?</w:t>
      </w:r>
    </w:p>
    <w:p>
      <w:r>
        <w:rPr>
          <w:rFonts w:ascii="等线(中文正文)" w:hAnsi="等线(中文正文)" w:cs="等线(中文正文)" w:eastAsia="等线(中文正文)"/>
          <w:b w:val="false"/>
          <w:i w:val="false"/>
          <w:sz w:val="20"/>
        </w:rPr>
        <w:t>发言人1：The financial results for the second quarter of 2022 include a total revenue of 993.6 million RMB or $146.4 million U.S. dollars, a year-over-year decline of 56.3%, and an operating income of 194.9 million RMB or $28.7 million U.S. dollars. The company experienced a decrease in land facilitation volumes, but higher guarantee income. Total operating costs and expenses were 728.6 million RMB or $117.7 million U.S. dollars, down 22.9% year over year and 50% from the first quarter. Income before income taxes was 220 million RMB or $32.4 million U.S. dollars. Net profit margin was 4.7%, compared to 3.2% in the prior quarter and 23.2% in the same period last year.</w:t>
      </w:r>
    </w:p>
    <w:p>
      <w:r>
        <w:rPr>
          <w:rFonts w:ascii="等线(中文正文)" w:hAnsi="等线(中文正文)" w:cs="等线(中文正文)" w:eastAsia="等线(中文正文)"/>
          <w:b w:val="false"/>
          <w:i w:val="false"/>
          <w:sz w:val="20"/>
        </w:rPr>
        <w:t/>
      </w:r>
    </w:p>
    <w:p>
      <w:pPr>
        <w:pStyle w:val="ab"/>
      </w:pPr>
      <w:r>
        <w:t>What was the impact of regulatory developments on the company's second quarter results?</w:t>
      </w:r>
    </w:p>
    <w:p>
      <w:r>
        <w:rPr>
          <w:rFonts w:ascii="等线(中文正文)" w:hAnsi="等线(中文正文)" w:cs="等线(中文正文)" w:eastAsia="等线(中文正文)"/>
          <w:b w:val="false"/>
          <w:i w:val="false"/>
          <w:sz w:val="20"/>
        </w:rPr>
        <w:t>发言人1：The impact of regulatory developments on the company's second quarter results was not explicitly detailed in the transcript. However, the company mentioned monitoring the developments closely, suggesting that regulatory changes could have influenced their strategic decisions and financial outcomes during the quarter. With no new developments to report beyond what was disclosed in a 6-K filing, it implies that while regulatory changes were being closely watched, they did not have a significant impact on the reported results.</w:t>
      </w:r>
    </w:p>
    <w:p>
      <w:r>
        <w:rPr>
          <w:rFonts w:ascii="等线(中文正文)" w:hAnsi="等线(中文正文)" w:cs="等线(中文正文)" w:eastAsia="等线(中文正文)"/>
          <w:b w:val="false"/>
          <w:i w:val="false"/>
          <w:sz w:val="20"/>
        </w:rPr>
        <w:t/>
      </w:r>
    </w:p>
    <w:p>
      <w:pPr>
        <w:pStyle w:val="ab"/>
      </w:pPr>
      <w:r>
        <w:t>What was the total net revenue for the second quarter and how does it compare to the same period last year and the prior quarter?</w:t>
      </w:r>
    </w:p>
    <w:p>
      <w:r>
        <w:rPr>
          <w:rFonts w:ascii="等线(中文正文)" w:hAnsi="等线(中文正文)" w:cs="等线(中文正文)" w:eastAsia="等线(中文正文)"/>
          <w:b w:val="false"/>
          <w:i w:val="false"/>
          <w:sz w:val="20"/>
        </w:rPr>
        <w:t>发言人1：The total net revenue for the second quarter was RMB 994 million, down around 56% from the same period last year and about 16% from the previous quarter.</w:t>
      </w:r>
    </w:p>
    <w:p>
      <w:r>
        <w:rPr>
          <w:rFonts w:ascii="等线(中文正文)" w:hAnsi="等线(中文正文)" w:cs="等线(中文正文)" w:eastAsia="等线(中文正文)"/>
          <w:b w:val="false"/>
          <w:i w:val="false"/>
          <w:sz w:val="20"/>
        </w:rPr>
        <w:t/>
      </w:r>
    </w:p>
    <w:p>
      <w:pPr>
        <w:pStyle w:val="ab"/>
      </w:pPr>
      <w:r>
        <w:t>What does the decline in total net revenue reflect, and what is the growth attributed to?</w:t>
      </w:r>
    </w:p>
    <w:p>
      <w:r>
        <w:rPr>
          <w:rFonts w:ascii="等线(中文正文)" w:hAnsi="等线(中文正文)" w:cs="等线(中文正文)" w:eastAsia="等线(中文正文)"/>
          <w:b w:val="false"/>
          <w:i w:val="false"/>
          <w:sz w:val="20"/>
        </w:rPr>
        <w:t>发言人1：The decline in total net revenue reflects a reduction in origin activity, while the growth is attributed to an increase in guaranty income.</w:t>
      </w:r>
    </w:p>
    <w:p>
      <w:r>
        <w:rPr>
          <w:rFonts w:ascii="等线(中文正文)" w:hAnsi="等线(中文正文)" w:cs="等线(中文正文)" w:eastAsia="等线(中文正文)"/>
          <w:b w:val="false"/>
          <w:i w:val="false"/>
          <w:sz w:val="20"/>
        </w:rPr>
        <w:t/>
      </w:r>
    </w:p>
    <w:p>
      <w:pPr>
        <w:pStyle w:val="ab"/>
      </w:pPr>
      <w:r>
        <w:t>What were the adjusted income figures and how do they compare to the prior year and quarter?</w:t>
      </w:r>
    </w:p>
    <w:p>
      <w:r>
        <w:rPr>
          <w:rFonts w:ascii="等线(中文正文)" w:hAnsi="等线(中文正文)" w:cs="等线(中文正文)" w:eastAsia="等线(中文正文)"/>
          <w:b w:val="false"/>
          <w:i w:val="false"/>
          <w:sz w:val="20"/>
        </w:rPr>
        <w:t>发言人1：The adjusted income was RMB 166 million, up 104.3% from the prior quarter and down 72% year over year.</w:t>
      </w:r>
    </w:p>
    <w:p>
      <w:r>
        <w:rPr>
          <w:rFonts w:ascii="等线(中文正文)" w:hAnsi="等线(中文正文)" w:cs="等线(中文正文)" w:eastAsia="等线(中文正文)"/>
          <w:b w:val="false"/>
          <w:i w:val="false"/>
          <w:sz w:val="20"/>
        </w:rPr>
        <w:t/>
      </w:r>
    </w:p>
    <w:p>
      <w:pPr>
        <w:pStyle w:val="ab"/>
      </w:pPr>
      <w:r>
        <w:t>What is the impact of the decline in origin activity on the business lines' facilitation service fees?</w:t>
      </w:r>
    </w:p>
    <w:p>
      <w:r>
        <w:rPr>
          <w:rFonts w:ascii="等线(中文正文)" w:hAnsi="等线(中文正文)" w:cs="等线(中文正文)" w:eastAsia="等线(中文正文)"/>
          <w:b w:val="false"/>
          <w:i w:val="false"/>
          <w:sz w:val="20"/>
        </w:rPr>
        <w:t>发言人1：The decline in origin activity led to a decrease of 85.5% in facilitation service fees, amounting to RMB 219 million, in line with low origination volumes.</w:t>
      </w:r>
    </w:p>
    <w:p>
      <w:r>
        <w:rPr>
          <w:rFonts w:ascii="等线(中文正文)" w:hAnsi="等线(中文正文)" w:cs="等线(中文正文)" w:eastAsia="等线(中文正文)"/>
          <w:b w:val="false"/>
          <w:i w:val="false"/>
          <w:sz w:val="20"/>
        </w:rPr>
        <w:t/>
      </w:r>
    </w:p>
    <w:p>
      <w:pPr>
        <w:pStyle w:val="ab"/>
      </w:pPr>
      <w:r>
        <w:t>How has the guaranty income changed and what is its significance?</w:t>
      </w:r>
    </w:p>
    <w:p>
      <w:r>
        <w:rPr>
          <w:rFonts w:ascii="等线(中文正文)" w:hAnsi="等线(中文正文)" w:cs="等线(中文正文)" w:eastAsia="等线(中文正文)"/>
          <w:b w:val="false"/>
          <w:i w:val="false"/>
          <w:sz w:val="20"/>
        </w:rPr>
        <w:t>发言人1：The guaranty income grew more than double year over year to RMB 225 million, significantly contributing to revenue from existing guarantee long portfolio finances.</w:t>
      </w:r>
    </w:p>
    <w:p>
      <w:r>
        <w:rPr>
          <w:rFonts w:ascii="等线(中文正文)" w:hAnsi="等线(中文正文)" w:cs="等线(中文正文)" w:eastAsia="等线(中文正文)"/>
          <w:b w:val="false"/>
          <w:i w:val="false"/>
          <w:sz w:val="20"/>
        </w:rPr>
        <w:t/>
      </w:r>
    </w:p>
    <w:p>
      <w:pPr>
        <w:pStyle w:val="ab"/>
      </w:pPr>
      <w:r>
        <w:t>What is the company's capital position as of the end of the quarter?</w:t>
      </w:r>
    </w:p>
    <w:p>
      <w:r>
        <w:rPr>
          <w:rFonts w:ascii="等线(中文正文)" w:hAnsi="等线(中文正文)" w:cs="等线(中文正文)" w:eastAsia="等线(中文正文)"/>
          <w:b w:val="false"/>
          <w:i w:val="false"/>
          <w:sz w:val="20"/>
        </w:rPr>
        <w:t>发言人1：As of the end of the quarter, the company had total assets of RMB 10.1 billion and shareholders' equity of RMB 7.8 million, resulting in an equity to assets ratio of 78%.</w:t>
      </w:r>
    </w:p>
    <w:p>
      <w:r>
        <w:rPr>
          <w:rFonts w:ascii="等线(中文正文)" w:hAnsi="等线(中文正文)" w:cs="等线(中文正文)" w:eastAsia="等线(中文正文)"/>
          <w:b w:val="false"/>
          <w:i w:val="false"/>
          <w:sz w:val="20"/>
        </w:rPr>
        <w:t/>
      </w:r>
    </w:p>
    <w:p>
      <w:pPr>
        <w:pStyle w:val="ab"/>
      </w:pPr>
      <w:r>
        <w:t>What is the company's share buyback program status and how much has it spent on share repurchases?</w:t>
      </w:r>
    </w:p>
    <w:p>
      <w:r>
        <w:rPr>
          <w:rFonts w:ascii="等线(中文正文)" w:hAnsi="等线(中文正文)" w:cs="等线(中文正文)" w:eastAsia="等线(中文正文)"/>
          <w:b w:val="false"/>
          <w:i w:val="false"/>
          <w:sz w:val="20"/>
        </w:rPr>
        <w:t>发言人1：The company's share buyback program had spent a total consideration of RMB 494 million on purchasing a possible 2.63 million shares during the period from January 26 to September 10, 2022.</w:t>
      </w:r>
    </w:p>
    <w:p>
      <w:r>
        <w:rPr>
          <w:rFonts w:ascii="等线(中文正文)" w:hAnsi="等线(中文正文)" w:cs="等线(中文正文)" w:eastAsia="等线(中文正文)"/>
          <w:b w:val="false"/>
          <w:i w:val="false"/>
          <w:sz w:val="20"/>
        </w:rPr>
        <w:t/>
      </w:r>
    </w:p>
    <w:p>
      <w:pPr>
        <w:pStyle w:val="ab"/>
      </w:pPr>
      <w:r>
        <w:t>What is the company's approach to returning capital to shareholders and dividend declarations?</w:t>
      </w:r>
    </w:p>
    <w:p>
      <w:r>
        <w:rPr>
          <w:rFonts w:ascii="等线(中文正文)" w:hAnsi="等线(中文正文)" w:cs="等线(中文正文)" w:eastAsia="等线(中文正文)"/>
          <w:b w:val="false"/>
          <w:i w:val="false"/>
          <w:sz w:val="20"/>
        </w:rPr>
        <w:t>发言人1：The company returned capital to shareholders through share repurchases and declared a cash dividend of RMB 0.0467 per share for shareholders of record as of September 10, 2022.</w:t>
      </w:r>
    </w:p>
    <w:p>
      <w:r>
        <w:rPr>
          <w:rFonts w:ascii="等线(中文正文)" w:hAnsi="等线(中文正文)" w:cs="等线(中文正文)" w:eastAsia="等线(中文正文)"/>
          <w:b w:val="false"/>
          <w:i w:val="false"/>
          <w:sz w:val="20"/>
        </w:rPr>
        <w:t/>
      </w:r>
    </w:p>
    <w:p>
      <w:pPr>
        <w:pStyle w:val="ab"/>
      </w:pPr>
      <w:r>
        <w:t>What are the priorities and capital preservation strategies given the current operational environment?</w:t>
      </w:r>
    </w:p>
    <w:p>
      <w:r>
        <w:rPr>
          <w:rFonts w:ascii="等线(中文正文)" w:hAnsi="等线(中文正文)" w:cs="等线(中文正文)" w:eastAsia="等线(中文正文)"/>
          <w:b w:val="false"/>
          <w:i w:val="false"/>
          <w:sz w:val="20"/>
        </w:rPr>
        <w:t>发言人1：Given the operational uncertainty, the company's priorities include capital preservation, cost control, and protection of vanishing assets while ceasing to provide guarantees until visibility improves.</w:t>
      </w:r>
    </w:p>
    <w:p>
      <w:r>
        <w:rPr>
          <w:rFonts w:ascii="等线(中文正文)" w:hAnsi="等线(中文正文)" w:cs="等线(中文正文)" w:eastAsia="等线(中文正文)"/>
          <w:b w:val="false"/>
          <w:i w:val="false"/>
          <w:sz w:val="20"/>
        </w:rPr>
        <w:t/>
      </w:r>
    </w:p>
    <w:p>
      <w:pPr>
        <w:pStyle w:val="ab"/>
      </w:pPr>
      <w:r>
        <w:t>Why does the company prefer to remain public despite the substantial increase in tangible book value?</w:t>
      </w:r>
    </w:p>
    <w:p>
      <w:r>
        <w:rPr>
          <w:rFonts w:ascii="等线(中文正文)" w:hAnsi="等线(中文正文)" w:cs="等线(中文正文)" w:eastAsia="等线(中文正文)"/>
          <w:b w:val="false"/>
          <w:i w:val="false"/>
          <w:sz w:val="20"/>
        </w:rPr>
        <w:t>发言人1：The company prefers to remain public because being a listed company is considered a privilege and special status in China. Privatizing could potentially limit the company's future listing opportunities due to government regulations and industry conditions.</w:t>
      </w:r>
    </w:p>
    <w:p>
      <w:r>
        <w:rPr>
          <w:rFonts w:ascii="等线(中文正文)" w:hAnsi="等线(中文正文)" w:cs="等线(中文正文)" w:eastAsia="等线(中文正文)"/>
          <w:b w:val="false"/>
          <w:i w:val="false"/>
          <w:sz w:val="20"/>
        </w:rPr>
        <w:t/>
      </w:r>
    </w:p>
    <w:p>
      <w:pPr>
        <w:pStyle w:val="ab"/>
      </w:pPr>
      <w:r>
        <w:t>What is the process the company will follow to potentially return more capital to shareholders or increase the company's valuation?</w:t>
      </w:r>
    </w:p>
    <w:p>
      <w:r>
        <w:rPr>
          <w:rFonts w:ascii="等线(中文正文)" w:hAnsi="等线(中文正文)" w:cs="等线(中文正文)" w:eastAsia="等线(中文正文)"/>
          <w:b w:val="false"/>
          <w:i w:val="false"/>
          <w:sz w:val="20"/>
        </w:rPr>
        <w:t>发言人1：The company is exploring reengineering its business beyond its facilitation business, aiming for capital efficiency and seeking new revenue sources. It is also maximizing buybacks while preserving enough capital for new business opportunities, although the future of these opportunities is not very clear.</w:t>
      </w:r>
    </w:p>
    <w:p>
      <w:r>
        <w:rPr>
          <w:rFonts w:ascii="等线(中文正文)" w:hAnsi="等线(中文正文)" w:cs="等线(中文正文)" w:eastAsia="等线(中文正文)"/>
          <w:b w:val="false"/>
          <w:i w:val="false"/>
          <w:sz w:val="20"/>
        </w:rPr>
        <w:t/>
      </w:r>
    </w:p>
    <w:p>
      <w:pPr>
        <w:pStyle w:val="ab"/>
      </w:pPr>
      <w:r>
        <w:t>What are the main factors contributing to the company's ability to maintain a healthy dividend despite facing challenges?</w:t>
      </w:r>
    </w:p>
    <w:p>
      <w:r>
        <w:rPr>
          <w:rFonts w:ascii="等线(中文正文)" w:hAnsi="等线(中文正文)" w:cs="等线(中文正文)" w:eastAsia="等线(中文正文)"/>
          <w:b w:val="false"/>
          <w:i w:val="false"/>
          <w:sz w:val="20"/>
        </w:rPr>
        <w:t>发言人1：The company's focus on operational efficiencies, reduction in apss (average production support cost), and improvement in organic growth have contributed to maintaining a healthy dividend despite facing challenges.</w:t>
      </w:r>
    </w:p>
    <w:p>
      <w:r>
        <w:rPr>
          <w:rFonts w:ascii="等线(中文正文)" w:hAnsi="等线(中文正文)" w:cs="等线(中文正文)" w:eastAsia="等线(中文正文)"/>
          <w:b w:val="false"/>
          <w:i w:val="false"/>
          <w:sz w:val="20"/>
        </w:rPr>
        <w:t/>
      </w:r>
    </w:p>
    <w:p>
      <w:pPr>
        <w:pStyle w:val="ab"/>
      </w:pPr>
      <w:r>
        <w:t>Why did the company experience a significant decrease in provision for container guarantee liabilities?</w:t>
      </w:r>
    </w:p>
    <w:p>
      <w:r>
        <w:rPr>
          <w:rFonts w:ascii="等线(中文正文)" w:hAnsi="等线(中文正文)" w:cs="等线(中文正文)" w:eastAsia="等线(中文正文)"/>
          <w:b w:val="false"/>
          <w:i w:val="false"/>
          <w:sz w:val="20"/>
        </w:rPr>
        <w:t>发言人1：The decrease in provision for container guarantee liabilities is attributed to the lom (lossless assumption) and the change in the average loss rate on the book during the quarter. As a result, the reversals in reserves were no longer needed at the previous level, which impacted the line and gave an impression of an element like there from some evidence of recent changes.</w:t>
      </w:r>
    </w:p>
    <w:p>
      <w:r>
        <w:rPr>
          <w:rFonts w:ascii="等线(中文正文)" w:hAnsi="等线(中文正文)" w:cs="等线(中文正文)" w:eastAsia="等线(中文正文)"/>
          <w:b w:val="false"/>
          <w:i w:val="false"/>
          <w:sz w:val="20"/>
        </w:rPr>
        <w:t/>
      </w:r>
    </w:p>
    <w:p>
      <w:pPr>
        <w:pStyle w:val="ab"/>
      </w:pPr>
      <w:r>
        <w:t>What specific factors caused the increase in the deep ency rate while the provision decreased?</w:t>
      </w:r>
    </w:p>
    <w:p>
      <w:r>
        <w:rPr>
          <w:rFonts w:ascii="等线(中文正文)" w:hAnsi="等线(中文正文)" w:cs="等线(中文正文)" w:eastAsia="等线(中文正文)"/>
          <w:b w:val="false"/>
          <w:i w:val="false"/>
          <w:sz w:val="20"/>
        </w:rPr>
        <w:t>发言人1：The increase in the deep ency rate is explained by the elevated liquid exposure, which is concentrated in older paper that was processed through the port. This indicates that recent bills managed originated under the material in a tiger criteria and are performing better than anticipated. The provision reflects the company's estimation of losses on the book.</w:t>
      </w:r>
    </w:p>
    <w:p>
      <w:r>
        <w:rPr>
          <w:rFonts w:ascii="等线(中文正文)" w:hAnsi="等线(中文正文)" w:cs="等线(中文正文)" w:eastAsia="等线(中文正文)"/>
          <w:b w:val="false"/>
          <w:i w:val="false"/>
          <w:sz w:val="20"/>
        </w:rPr>
        <w:t/>
      </w:r>
    </w:p>
    <w:p>
      <w:pPr>
        <w:pStyle w:val="ab"/>
      </w:pPr>
      <w:r>
        <w:t>Why did the credit loss provision for police and other financial assets increase significantly?</w:t>
      </w:r>
    </w:p>
    <w:p>
      <w:r>
        <w:rPr>
          <w:rFonts w:ascii="等线(中文正文)" w:hAnsi="等线(中文正文)" w:cs="等线(中文正文)" w:eastAsia="等线(中文正文)"/>
          <w:b w:val="false"/>
          <w:i w:val="false"/>
          <w:sz w:val="20"/>
        </w:rPr>
        <w:t>发言人1：The credit loss provision for police and other financial assets increased from RMB 700,000 to RMB 95 million due to a funding institution being behind schedule in returning guarantee money. The increase is material now, and the company has taken a cautious approach to write them off at this time.</w:t>
      </w:r>
    </w:p>
    <w:p>
      <w:r>
        <w:rPr>
          <w:rFonts w:ascii="等线(中文正文)" w:hAnsi="等线(中文正文)" w:cs="等线(中文正文)" w:eastAsia="等线(中文正文)"/>
          <w:b w:val="false"/>
          <w:i w:val="false"/>
          <w:sz w:val="20"/>
        </w:rPr>
        <w:t/>
      </w:r>
    </w:p>
    <w:p>
      <w:pPr>
        <w:pStyle w:val="ab"/>
      </w:pPr>
      <w:r>
        <w:t>Are there any further capital return plans given the current market conditions?</w:t>
      </w:r>
    </w:p>
    <w:p>
      <w:r>
        <w:rPr>
          <w:rFonts w:ascii="等线(中文正文)" w:hAnsi="等线(中文正文)" w:cs="等线(中文正文)" w:eastAsia="等线(中文正文)"/>
          <w:b w:val="false"/>
          <w:i w:val="false"/>
          <w:sz w:val="20"/>
        </w:rPr>
        <w:t>发言人1：At the current time, the company does not have any particular capital return plans beyond the existing ones, and they are abiding by normal backup circumstances and rules.</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2026-08-24T14:21:21Z</dcterms:created>
  <dc:creator>Apache POI</dc:creator>
</cp:coreProperties>
</file>