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银河总量之声 - 月末市场信号、地产板块机遇与险资配置动向 260824_导读</w:t>
      </w:r>
    </w:p>
    <w:p>
      <w:pPr>
        <w:pStyle w:val="a0"/>
        <w:jc w:val="center"/>
      </w:pPr>
      <w:r>
        <w:t>2026年08月24日 22:12</w:t>
      </w:r>
    </w:p>
    <w:p>
      <w:pPr>
        <w:pStyle w:val="a7"/>
      </w:pPr>
      <w:r>
        <w:t>关键词</w:t>
      </w:r>
    </w:p>
    <w:p>
      <w:r>
        <w:rPr>
          <w:rFonts w:ascii="等线(中文正文)" w:hAnsi="等线(中文正文)" w:cs="等线(中文正文)" w:eastAsia="等线(中文正文)"/>
          <w:b w:val="false"/>
          <w:i w:val="false"/>
          <w:sz w:val="20"/>
        </w:rPr>
        <w:t xml:space="preserve">外部扰动 内部验证 政策信号 基建方向 海外流动性 地产板块 保险资金 原油价格 A股市场 经济数据 科技股 基建建设 科技资产 政策主线 景气方向 有色金属 上海 二手住宅 成交规模 政策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会议由银河证券的费用分析师主持，讨论了市场信号关注、地产板块影响及保险资金运用等多个议题。首先，分析师深入分析了当前市场在外部不确定性影响下的状况，特别是美国的经济和贸易制裁、伊朗的原油出口问题及霍姆海峡的控制权争议对A股市场中期的影响，同时讨论了美联储的货币政策及美债收益率波动对市场的潜在影响。随后，地产分析师分享了自八月起多个城市出台支持性政策以稳定房地产市场的情况，分析了新房和二手房市场的表现以及政策对市场预期的影响，并对下半年的市场前景进行了展望。最后，分析师讨论了保险资产管理行业的发展、保险资金在不同资产类别中的配置情况，特别提到了固收类资产、权益类资产和非标资产的变化趋势，以及保险行业在新会计准则下对投资策略的影响，对高股息和科技类股票的偏好。整体为投资者提供了关于市场趋势、政策导向以及投资策略的深度分析。</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市场扰动与验证：外部不确定性与内部信号的关注</w:t>
      </w:r>
    </w:p>
    <w:p>
      <w:r>
        <w:rPr>
          <w:rFonts w:ascii="等线(中文正文)" w:hAnsi="等线(中文正文)" w:cs="等线(中文正文)" w:eastAsia="等线(中文正文)"/>
          <w:b w:val="false"/>
          <w:i w:val="false"/>
          <w:sz w:val="20"/>
        </w:rPr>
        <w:t>在当前市场环境下，A股面临外部扰动与内部验证的交织影响，需关注谈判窗口期延长、经济贸易制裁及军事威慑对市场预期的影响，尤其是对原油价格走势的预期调整。</w:t>
      </w:r>
    </w:p>
    <w:p>
      <w:r>
        <w:rPr>
          <w:rFonts w:ascii="等线(中文正文)" w:hAnsi="等线(中文正文)" w:cs="等线(中文正文)" w:eastAsia="等线(中文正文)"/>
          <w:b w:val="false"/>
          <w:i w:val="false"/>
          <w:sz w:val="20"/>
        </w:rPr>
        <w:t/>
      </w:r>
    </w:p>
    <w:p>
      <w:pPr>
        <w:pStyle w:val="ab"/>
        <w:numPr>
          <w:numId w:val="2"/>
        </w:numPr>
      </w:pPr>
      <w:r>
        <w:t>02:27 地缘政治与货币政策对油价及市场的影响</w:t>
      </w:r>
    </w:p>
    <w:p>
      <w:r>
        <w:rPr>
          <w:rFonts w:ascii="等线(中文正文)" w:hAnsi="等线(中文正文)" w:cs="等线(中文正文)" w:eastAsia="等线(中文正文)"/>
          <w:b w:val="false"/>
          <w:i w:val="false"/>
          <w:sz w:val="20"/>
        </w:rPr>
        <w:t>对话讨论了霍姆海峡控制权争议对油价的影响，指出尽管短期油价下行，但长期航运和供应扰动风险仍存在，油价可能区间震荡。同时，分析了美联储货币政策预期变化对美债收益率及全球市场的影响，强调科技股受冲击及海外流动性预期对全球风险偏好的中期扰动。最后，提到了国内政策信号，特别是新型基建方向的法律机制提升，以及地产政策优化释放的稳增长信号。</w:t>
      </w:r>
    </w:p>
    <w:p>
      <w:r>
        <w:rPr>
          <w:rFonts w:ascii="等线(中文正文)" w:hAnsi="等线(中文正文)" w:cs="等线(中文正文)" w:eastAsia="等线(中文正文)"/>
          <w:b w:val="false"/>
          <w:i w:val="false"/>
          <w:sz w:val="20"/>
        </w:rPr>
        <w:t/>
      </w:r>
    </w:p>
    <w:p>
      <w:pPr>
        <w:pStyle w:val="ab"/>
        <w:numPr>
          <w:numId w:val="3"/>
        </w:numPr>
      </w:pPr>
      <w:r>
        <w:t>07:45 A股市场分析：政策主线与景气方向的结构性机会</w:t>
      </w:r>
    </w:p>
    <w:p>
      <w:r>
        <w:rPr>
          <w:rFonts w:ascii="等线(中文正文)" w:hAnsi="等线(中文正文)" w:cs="等线(中文正文)" w:eastAsia="等线(中文正文)"/>
          <w:b w:val="false"/>
          <w:i w:val="false"/>
          <w:sz w:val="20"/>
        </w:rPr>
        <w:t>讨论了本周海外宏观定价影响、科技公司业绩验证、A股周报披露及产业会议等关键信号，指出短期指数受海外波动影响可能震荡，但内部政策信号与产业逻辑稳定，建议关注经济成长主线、中长期防御性底仓及资源品周期方向的结构性机会。</w:t>
      </w:r>
    </w:p>
    <w:p>
      <w:r>
        <w:rPr>
          <w:rFonts w:ascii="等线(中文正文)" w:hAnsi="等线(中文正文)" w:cs="等线(中文正文)" w:eastAsia="等线(中文正文)"/>
          <w:b w:val="false"/>
          <w:i w:val="false"/>
          <w:sz w:val="20"/>
        </w:rPr>
        <w:t/>
      </w:r>
    </w:p>
    <w:p>
      <w:pPr>
        <w:pStyle w:val="ab"/>
        <w:numPr>
          <w:numId w:val="4"/>
        </w:numPr>
      </w:pPr>
      <w:r>
        <w:t>11:36 房地产市场现状与政策影响分析</w:t>
      </w:r>
    </w:p>
    <w:p>
      <w:r>
        <w:rPr>
          <w:rFonts w:ascii="等线(中文正文)" w:hAnsi="等线(中文正文)" w:cs="等线(中文正文)" w:eastAsia="等线(中文正文)"/>
          <w:b w:val="false"/>
          <w:i w:val="false"/>
          <w:sz w:val="20"/>
        </w:rPr>
        <w:t>对话深入探讨了当前房地产市场的新房与二手房销售情况，指出新房销售面积和金额同比下滑，库存维持高位，去化周期长。一线城市销售均价表现较好，二三线城市承压。政策支持对稳定市场起到一定作用，但行业整体拿地开工收窄，广义库存规模虽降但仍高。居民需求变化影响库存结构，狭义库存占比上升。</w:t>
      </w:r>
    </w:p>
    <w:p>
      <w:r>
        <w:rPr>
          <w:rFonts w:ascii="等线(中文正文)" w:hAnsi="等线(中文正文)" w:cs="等线(中文正文)" w:eastAsia="等线(中文正文)"/>
          <w:b w:val="false"/>
          <w:i w:val="false"/>
          <w:sz w:val="20"/>
        </w:rPr>
        <w:t/>
      </w:r>
    </w:p>
    <w:p>
      <w:pPr>
        <w:pStyle w:val="ab"/>
        <w:numPr>
          <w:numId w:val="5"/>
        </w:numPr>
      </w:pPr>
      <w:r>
        <w:t>16:13 二手房市场成交与价格趋势分析</w:t>
      </w:r>
    </w:p>
    <w:p>
      <w:r>
        <w:rPr>
          <w:rFonts w:ascii="等线(中文正文)" w:hAnsi="等线(中文正文)" w:cs="等线(中文正文)" w:eastAsia="等线(中文正文)"/>
          <w:b w:val="false"/>
          <w:i w:val="false"/>
          <w:sz w:val="20"/>
        </w:rPr>
        <w:t>对话分析了上海、北京和深圳的二手房市场，指出成交热度维持高位，政策影响显著，成交结构中小户型占比下滑，套均面积修复，成交均价底部回升，表现韧性。租赁市场租金自三月起持续正增长，大城市表现乐观。</w:t>
      </w:r>
    </w:p>
    <w:p>
      <w:r>
        <w:rPr>
          <w:rFonts w:ascii="等线(中文正文)" w:hAnsi="等线(中文正文)" w:cs="等线(中文正文)" w:eastAsia="等线(中文正文)"/>
          <w:b w:val="false"/>
          <w:i w:val="false"/>
          <w:sz w:val="20"/>
        </w:rPr>
        <w:t/>
      </w:r>
    </w:p>
    <w:p>
      <w:pPr>
        <w:pStyle w:val="ab"/>
        <w:numPr>
          <w:numId w:val="6"/>
        </w:numPr>
      </w:pPr>
      <w:r>
        <w:t>20:11 上海楼市租金回报率与政策放松周期分析</w:t>
      </w:r>
    </w:p>
    <w:p>
      <w:r>
        <w:rPr>
          <w:rFonts w:ascii="等线(中文正文)" w:hAnsi="等线(中文正文)" w:cs="等线(中文正文)" w:eastAsia="等线(中文正文)"/>
          <w:b w:val="false"/>
          <w:i w:val="false"/>
          <w:sz w:val="20"/>
        </w:rPr>
        <w:t>对话讨论了上海租金回报率突破2%的现象及其对楼市的影响，指出部分交通便利的小户型房屋回报率与公积金贷款利率价差更小，预示二手房成交热度有望持续。同时，分析了近期国务院及北上广等头部城市出台的楼市放松政策，认为楼市正进入新一轮因城施策的放松周期，旨在降低购房门槛，促进住房消费。</w:t>
      </w:r>
    </w:p>
    <w:p>
      <w:r>
        <w:rPr>
          <w:rFonts w:ascii="等线(中文正文)" w:hAnsi="等线(中文正文)" w:cs="等线(中文正文)" w:eastAsia="等线(中文正文)"/>
          <w:b w:val="false"/>
          <w:i w:val="false"/>
          <w:sz w:val="20"/>
        </w:rPr>
        <w:t/>
      </w:r>
    </w:p>
    <w:p>
      <w:pPr>
        <w:pStyle w:val="ab"/>
        <w:numPr>
          <w:numId w:val="7"/>
        </w:numPr>
      </w:pPr>
      <w:r>
        <w:t>23:15 上海楼市新政：以旧换新补贴助力外环外住房去化</w:t>
      </w:r>
    </w:p>
    <w:p>
      <w:r>
        <w:rPr>
          <w:rFonts w:ascii="等线(中文正文)" w:hAnsi="等线(中文正文)" w:cs="等线(中文正文)" w:eastAsia="等线(中文正文)"/>
          <w:b w:val="false"/>
          <w:i w:val="false"/>
          <w:sz w:val="20"/>
        </w:rPr>
        <w:t>上海近期出台的楼市政策聚焦于以旧换新补贴，旨在刺激外环外住房市场。政策包括降低二套房首付款比例、提供贷款补贴和购房补贴，总额达两亿元，预期能有效促进特定区域的住房需求释放，缓解库存压力。此外，公积金制度的升级也将支撑楼市稳定发展。</w:t>
      </w:r>
    </w:p>
    <w:p>
      <w:r>
        <w:rPr>
          <w:rFonts w:ascii="等线(中文正文)" w:hAnsi="等线(中文正文)" w:cs="等线(中文正文)" w:eastAsia="等线(中文正文)"/>
          <w:b w:val="false"/>
          <w:i w:val="false"/>
          <w:sz w:val="20"/>
        </w:rPr>
        <w:t/>
      </w:r>
    </w:p>
    <w:p>
      <w:pPr>
        <w:pStyle w:val="ab"/>
        <w:numPr>
          <w:numId w:val="8"/>
        </w:numPr>
      </w:pPr>
      <w:r>
        <w:t>30:22 保险资金规模与监管框架分析</w:t>
      </w:r>
    </w:p>
    <w:p>
      <w:r>
        <w:rPr>
          <w:rFonts w:ascii="等线(中文正文)" w:hAnsi="等线(中文正文)" w:cs="等线(中文正文)" w:eastAsia="等线(中文正文)"/>
          <w:b w:val="false"/>
          <w:i w:val="false"/>
          <w:sz w:val="20"/>
        </w:rPr>
        <w:t>对话围绕保险资金规模、结构及监管框架展开，指出2020年一季度保险资管行业总规模达184.89万亿，保险资金规模持续增长，2026年第二季度首次突破40万亿，同比增长12.67%。人身险资金占比持续上升，2026年第二季度达90.31%。监管方面，保险资金投资范围逐步放宽，与偿付能力挂钩，资产负债匹配要求加强，标志着保险行业进入资产负债管理新时代。</w:t>
      </w:r>
    </w:p>
    <w:p>
      <w:r>
        <w:rPr>
          <w:rFonts w:ascii="等线(中文正文)" w:hAnsi="等线(中文正文)" w:cs="等线(中文正文)" w:eastAsia="等线(中文正文)"/>
          <w:b w:val="false"/>
          <w:i w:val="false"/>
          <w:sz w:val="20"/>
        </w:rPr>
        <w:t/>
      </w:r>
    </w:p>
    <w:p>
      <w:pPr>
        <w:pStyle w:val="ab"/>
        <w:numPr>
          <w:numId w:val="9"/>
        </w:numPr>
      </w:pPr>
      <w:r>
        <w:t>34:52 保险资金管理与偿付能力监管分析</w:t>
      </w:r>
    </w:p>
    <w:p>
      <w:r>
        <w:rPr>
          <w:rFonts w:ascii="等线(中文正文)" w:hAnsi="等线(中文正文)" w:cs="等线(中文正文)" w:eastAsia="等线(中文正文)"/>
          <w:b w:val="false"/>
          <w:i w:val="false"/>
          <w:sz w:val="20"/>
        </w:rPr>
        <w:t>对话深入探讨了保险资金资产负债管理的三大核心方面：期限结构、成本收益及现金流匹配，强调了偿付能力监管的重要性及其对保险行业高质量发展的保障作用。分析了2020年一季度保险行业全面落地偿二代新规后的整体偿付能力状况，指出尽管行业整体偿付能力充足，但中小规模保险公司存在资本流动渠道有限、业务结构粗放等问题。同时，新会计准则的执行对保险资产管理行业资产配置格局产生了深远影响，包括金融资产分类调整和资产减值计提变化，促使保险公司投资策略更加稳健。</w:t>
      </w:r>
    </w:p>
    <w:p>
      <w:r>
        <w:rPr>
          <w:rFonts w:ascii="等线(中文正文)" w:hAnsi="等线(中文正文)" w:cs="等线(中文正文)" w:eastAsia="等线(中文正文)"/>
          <w:b w:val="false"/>
          <w:i w:val="false"/>
          <w:sz w:val="20"/>
        </w:rPr>
        <w:t/>
      </w:r>
    </w:p>
    <w:p>
      <w:pPr>
        <w:pStyle w:val="ab"/>
        <w:numPr>
          <w:numId w:val="10"/>
        </w:numPr>
      </w:pPr>
      <w:r>
        <w:t>38:49 保险行业资产配置与产品转型趋势</w:t>
      </w:r>
    </w:p>
    <w:p>
      <w:r>
        <w:rPr>
          <w:rFonts w:ascii="等线(中文正文)" w:hAnsi="等线(中文正文)" w:cs="等线(中文正文)" w:eastAsia="等线(中文正文)"/>
          <w:b w:val="false"/>
          <w:i w:val="false"/>
          <w:sz w:val="20"/>
        </w:rPr>
        <w:t>人身险保费占比持续上升，2025年达70.6%，分红险成为转型重点。固收类资产尤其是债券在保险资金中占比最高，2025年达50.7%，而存款和非标资产配置比例显著下降。保险公司投资收益有望提升，传统险销售难度加大。</w:t>
      </w:r>
    </w:p>
    <w:p>
      <w:r>
        <w:rPr>
          <w:rFonts w:ascii="等线(中文正文)" w:hAnsi="等线(中文正文)" w:cs="等线(中文正文)" w:eastAsia="等线(中文正文)"/>
          <w:b w:val="false"/>
          <w:i w:val="false"/>
          <w:sz w:val="20"/>
        </w:rPr>
        <w:t/>
      </w:r>
    </w:p>
    <w:p>
      <w:pPr>
        <w:pStyle w:val="ab"/>
        <w:numPr>
          <w:numId w:val="11"/>
        </w:numPr>
      </w:pPr>
      <w:r>
        <w:t>43:53 保险资金权益类资产配置趋势与科技股加仓分析</w:t>
      </w:r>
    </w:p>
    <w:p>
      <w:r>
        <w:rPr>
          <w:rFonts w:ascii="等线(中文正文)" w:hAnsi="等线(中文正文)" w:cs="等线(中文正文)" w:eastAsia="等线(中文正文)"/>
          <w:b w:val="false"/>
          <w:i w:val="false"/>
          <w:sz w:val="20"/>
        </w:rPr>
        <w:t>保险资金权益类资产配置规模与占比持续上升，尤其在股票与基金方面。人身险公司股票资产配置占比高于财产险公司。保险资金偏好高股息资产，一季度重仓高股息行业，二季度加大科技股配置，平安银行仍为第一大重仓股。</w:t>
      </w:r>
    </w:p>
    <w:p>
      <w:r>
        <w:rPr>
          <w:rFonts w:ascii="等线(中文正文)" w:hAnsi="等线(中文正文)" w:cs="等线(中文正文)" w:eastAsia="等线(中文正文)"/>
          <w:b w:val="false"/>
          <w:i w:val="false"/>
          <w:sz w:val="20"/>
        </w:rPr>
        <w:t/>
      </w:r>
    </w:p>
    <w:p>
      <w:pPr>
        <w:pStyle w:val="ab"/>
        <w:numPr>
          <w:numId w:val="12"/>
        </w:numPr>
      </w:pPr>
      <w:r>
        <w:t>47:16 2025年下半年保险资产配置展望</w:t>
      </w:r>
    </w:p>
    <w:p>
      <w:r>
        <w:rPr>
          <w:rFonts w:ascii="等线(中文正文)" w:hAnsi="等线(中文正文)" w:cs="等线(中文正文)" w:eastAsia="等线(中文正文)"/>
          <w:b w:val="false"/>
          <w:i w:val="false"/>
          <w:sz w:val="20"/>
        </w:rPr>
        <w:t>报告预测全年保费增速小幅下降至5%，分红险转型深化，固收类资产仍是配置重点，下半年将增配长久期债券及超长期地方政府债券。二元债配置属性弱化，但分红险适应新会计准则，提升配置意愿。权益类资产配置力度加大，高股息与科技类企业为重要方向，保险公司将进一步加大对科创板股票的配置。</w:t>
      </w:r>
    </w:p>
    <w:p>
      <w:r>
        <w:rPr>
          <w:rFonts w:ascii="等线(中文正文)" w:hAnsi="等线(中文正文)" w:cs="等线(中文正文)" w:eastAsia="等线(中文正文)"/>
          <w:b w:val="false"/>
          <w:i w:val="false"/>
          <w:sz w:val="20"/>
        </w:rPr>
        <w:t/>
      </w:r>
    </w:p>
    <w:p>
      <w:pPr>
        <w:pStyle w:val="a7"/>
      </w:pPr>
      <w:r>
        <w:t>发言总结</w:t>
      </w:r>
    </w:p>
    <w:p>
      <w:pPr>
        <w:pStyle w:val="ab"/>
        <w:numPr>
          <w:numId w:val="13"/>
        </w:numPr>
      </w:pPr>
      <w:r>
        <w:t>发言人1</w:t>
      </w:r>
    </w:p>
    <w:p>
      <w:r>
        <w:rPr>
          <w:rFonts w:ascii="等线(中文正文)" w:hAnsi="等线(中文正文)" w:cs="等线(中文正文)" w:eastAsia="等线(中文正文)"/>
          <w:b w:val="false"/>
          <w:i w:val="false"/>
          <w:sz w:val="20"/>
        </w:rPr>
        <w:t>他首先自我介绍为银河证券的费用分析师曹操，并担任总量会议的主持人。会议涵盖了三个主要议题：王雪英老师讨论“脑洞与运动交织面目”关注的信号、地产分析师吴少宇老师分析政策频出对地产板块的影响，以及他本人关于保险资金运用变化与下半年展望的分享。会议深入探讨了近期A股市场的环境、外部不确定性对市场的影响，以及政策和产业趋势。
他指出，保险资产管理行业规模持续扩大，结构不断优化，特别是在固收类、权益类及非标资产配置策略上有所调整。此外，他对保险资金运用的未来趋势和策略进行了展望，强调将加强对高股息和科技类股票的配置，以适应不断变化的市场环境和政策导向。</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问：近期A股市场所处的环境是怎样的，有哪些值得关注的信号？</w:t>
      </w:r>
    </w:p>
    <w:p>
      <w:r>
        <w:rPr>
          <w:rFonts w:ascii="等线(中文正文)" w:hAnsi="等线(中文正文)" w:cs="等线(中文正文)" w:eastAsia="等线(中文正文)"/>
          <w:b w:val="false"/>
          <w:i w:val="false"/>
          <w:sz w:val="20"/>
        </w:rPr>
        <w:t>发言人1 答：近期A股市场处于扰动与验证交织的状态，整体呈现震荡整理行情。当前外部层面的不确定性是A股市场中期的扰动源，特别是美国对伊朗的经济制裁、军事威慑以及霍姆海峡控制权争议等事件对市场预期，尤其是原油价格走势产生影响。同时，在美联储货币政策方面，市场对于年内美联储加息预期有所减弱，但需关注9月会议中落实讲话表态对市场预期的边际影响。</w:t>
      </w:r>
    </w:p>
    <w:p>
      <w:r>
        <w:rPr>
          <w:rFonts w:ascii="等线(中文正文)" w:hAnsi="等线(中文正文)" w:cs="等线(中文正文)" w:eastAsia="等线(中文正文)"/>
          <w:b w:val="false"/>
          <w:i w:val="false"/>
          <w:sz w:val="20"/>
        </w:rPr>
        <w:t/>
      </w:r>
    </w:p>
    <w:p>
      <w:pPr>
        <w:pStyle w:val="ab"/>
      </w:pPr>
      <w:r>
        <w:t>发言人1 问：对于全球权益市场及科技股有何影响因素？</w:t>
      </w:r>
    </w:p>
    <w:p>
      <w:r>
        <w:rPr>
          <w:rFonts w:ascii="等线(中文正文)" w:hAnsi="等线(中文正文)" w:cs="等线(中文正文)" w:eastAsia="等线(中文正文)"/>
          <w:b w:val="false"/>
          <w:i w:val="false"/>
          <w:sz w:val="20"/>
        </w:rPr>
        <w:t>发言人1 答：海外流动性预期的反复是影响全球风险偏好及风险资产定价的中期扰动因素，尤其是美债收益率高位运行导致全球无风险利率中枢较高，科技股受到冲击。此外，海外财政供给扩张、期权溢价抬升等也会引起主权债务风险溢价上行，进一步加大全球权益市场的震荡幅度。</w:t>
      </w:r>
    </w:p>
    <w:p>
      <w:r>
        <w:rPr>
          <w:rFonts w:ascii="等线(中文正文)" w:hAnsi="等线(中文正文)" w:cs="等线(中文正文)" w:eastAsia="等线(中文正文)"/>
          <w:b w:val="false"/>
          <w:i w:val="false"/>
          <w:sz w:val="20"/>
        </w:rPr>
        <w:t/>
      </w:r>
    </w:p>
    <w:p>
      <w:pPr>
        <w:pStyle w:val="ab"/>
      </w:pPr>
      <w:r>
        <w:t>发言人1 问：在国内政策信号方面有哪些重点观察点？</w:t>
      </w:r>
    </w:p>
    <w:p>
      <w:r>
        <w:rPr>
          <w:rFonts w:ascii="等线(中文正文)" w:hAnsi="等线(中文正文)" w:cs="等线(中文正文)" w:eastAsia="等线(中文正文)"/>
          <w:b w:val="false"/>
          <w:i w:val="false"/>
          <w:sz w:val="20"/>
        </w:rPr>
        <w:t>发言人1 答：在国内方面，八月底至三季度末是观察政策信号的关键时期，特别是新型基建方向的法律机制有所提升。可以关注诸如新型电网、物流网以及新一代通信网等六张网建设的推进进展和落地情况，这将拉动上下游产业链需求和业绩提升。同时，近期地产政策也在优化，释放稳增长信号，整体政策导向预计会更加积极。</w:t>
      </w:r>
    </w:p>
    <w:p>
      <w:r>
        <w:rPr>
          <w:rFonts w:ascii="等线(中文正文)" w:hAnsi="等线(中文正文)" w:cs="等线(中文正文)" w:eastAsia="等线(中文正文)"/>
          <w:b w:val="false"/>
          <w:i w:val="false"/>
          <w:sz w:val="20"/>
        </w:rPr>
        <w:t/>
      </w:r>
    </w:p>
    <w:p>
      <w:pPr>
        <w:pStyle w:val="ab"/>
      </w:pPr>
      <w:r>
        <w:t>发言人1 问：本周有哪些重要海外宏观事件对市场产生影响？</w:t>
      </w:r>
    </w:p>
    <w:p>
      <w:r>
        <w:rPr>
          <w:rFonts w:ascii="等线(中文正文)" w:hAnsi="等线(中文正文)" w:cs="等线(中文正文)" w:eastAsia="等线(中文正文)"/>
          <w:b w:val="false"/>
          <w:i w:val="false"/>
          <w:sz w:val="20"/>
        </w:rPr>
        <w:t>发言人1 答：本周海外宏观定价的关键事件包括美国二季度GDP二次估值、七月核心CPI数据发布、杰克逊霍尔年会及相关主题演讲落地，这些都将对海外流动性及风险资产定价产生显著影响。此外，科技公司的业绩验证也很重要，例如英伟达财报及其后续资本开支指引将不仅影响美股，也对全球科技资产走向具有指导意义。</w:t>
      </w:r>
    </w:p>
    <w:p>
      <w:r>
        <w:rPr>
          <w:rFonts w:ascii="等线(中文正文)" w:hAnsi="等线(中文正文)" w:cs="等线(中文正文)" w:eastAsia="等线(中文正文)"/>
          <w:b w:val="false"/>
          <w:i w:val="false"/>
          <w:sz w:val="20"/>
        </w:rPr>
        <w:t/>
      </w:r>
    </w:p>
    <w:p>
      <w:pPr>
        <w:pStyle w:val="ab"/>
      </w:pPr>
      <w:r>
        <w:t>发言人1 问：在产业层面，有哪些值得关注的事件或趋势？</w:t>
      </w:r>
    </w:p>
    <w:p>
      <w:r>
        <w:rPr>
          <w:rFonts w:ascii="等线(中文正文)" w:hAnsi="等线(中文正文)" w:cs="等线(中文正文)" w:eastAsia="等线(中文正文)"/>
          <w:b w:val="false"/>
          <w:i w:val="false"/>
          <w:sz w:val="20"/>
        </w:rPr>
        <w:t>发言人1 答：近期值得关注的一个产业层面事件是涉及航空航天及通用人工智能领域的产业会议和策划活动。从整体市场环境来看，指数层面受到海外波动及内部筹码结构扰动的影响可能会出现震荡反复态势，板块间博弈和再平衡仍在持续。但外部冲击更多是阶段性的，而从内部政策信号和产业主线逻辑并未发现动摇。对于八月末至三季度后半段，市场将处于结构性轮动修复状态，建议围绕政策主线和景气方向把握结构性机会。</w:t>
      </w:r>
    </w:p>
    <w:p>
      <w:r>
        <w:rPr>
          <w:rFonts w:ascii="等线(中文正文)" w:hAnsi="等线(中文正文)" w:cs="等线(中文正文)" w:eastAsia="等线(中文正文)"/>
          <w:b w:val="false"/>
          <w:i w:val="false"/>
          <w:sz w:val="20"/>
        </w:rPr>
        <w:t/>
      </w:r>
    </w:p>
    <w:p>
      <w:pPr>
        <w:pStyle w:val="ab"/>
      </w:pPr>
      <w:r>
        <w:t>发言人1 问：配置方面有哪些具体的投资建议？</w:t>
      </w:r>
    </w:p>
    <w:p>
      <w:r>
        <w:rPr>
          <w:rFonts w:ascii="等线(中文正文)" w:hAnsi="等线(中文正文)" w:cs="等线(中文正文)" w:eastAsia="等线(中文正文)"/>
          <w:b w:val="false"/>
          <w:i w:val="false"/>
          <w:sz w:val="20"/>
        </w:rPr>
        <w:t>发言人1 答：配置机会主要集中在三条线上。首先，聚焦经济成长与政策验证主线，特别是新基建核心方向，如电力、半导体及产业链、通信设备、储能、电力配套、人形机器人、商业航天等，关注业绩兑现度高的龙头标的。其次，构建中长期防御性底仓，可关注金融、煤炭、公用事业等板块以对冲外部扰动。最后，资源品周期方向方面，有色金属尤其是贵金属板块以及基础化工行业，在全球宏观定价和供需格局驱动下迎来修复机会，同时电网、建材、工程机械和钢铁等基建建设相关领域也值得跟踪。</w:t>
      </w:r>
    </w:p>
    <w:p>
      <w:r>
        <w:rPr>
          <w:rFonts w:ascii="等线(中文正文)" w:hAnsi="等线(中文正文)" w:cs="等线(中文正文)" w:eastAsia="等线(中文正文)"/>
          <w:b w:val="false"/>
          <w:i w:val="false"/>
          <w:sz w:val="20"/>
        </w:rPr>
        <w:t/>
      </w:r>
    </w:p>
    <w:p>
      <w:pPr>
        <w:pStyle w:val="ab"/>
      </w:pPr>
      <w:r>
        <w:t>发言人1 问：对于当前地产市场的看法是什么？</w:t>
      </w:r>
    </w:p>
    <w:p>
      <w:r>
        <w:rPr>
          <w:rFonts w:ascii="等线(中文正文)" w:hAnsi="等线(中文正文)" w:cs="等线(中文正文)" w:eastAsia="等线(中文正文)"/>
          <w:b w:val="false"/>
          <w:i w:val="false"/>
          <w:sz w:val="20"/>
        </w:rPr>
        <w:t>发言人1 答：近期地产领域政策频出，旨在稳定和支持房地产高质量发展。从楼市现状分析，新房市场表现承压，销售面积累计同比降幅扩大，但销售均价表现相对较好。二手房市场则表现出不同的特点，如上海等头部城市的二手住宅成交热度较高，但相比近几年其他年份仍处于较低水平。此外，库存方面，狭义库存虽有所下滑但仍处于高位，广义库存规模接近30亿平方米，去化周期接近40个月，处于相对较高的位置。房企拿地和开工意愿减弱，导致广义库存占比逐渐提高，同时居民对于租住房的需求变化也影响了库存结构。二手房市场的热度相较于新房有所提升，但整体仍需关注政策导向和市场需求变化对房地产市场的影响。</w:t>
      </w:r>
    </w:p>
    <w:p>
      <w:r>
        <w:rPr>
          <w:rFonts w:ascii="等线(中文正文)" w:hAnsi="等线(中文正文)" w:cs="等线(中文正文)" w:eastAsia="等线(中文正文)"/>
          <w:b w:val="false"/>
          <w:i w:val="false"/>
          <w:sz w:val="20"/>
        </w:rPr>
        <w:t/>
      </w:r>
    </w:p>
    <w:p>
      <w:pPr>
        <w:pStyle w:val="ab"/>
      </w:pPr>
      <w:r>
        <w:t>发言人1 问：上海、北京和深圳的住宅成交热度受政策影响的程度如何？</w:t>
      </w:r>
    </w:p>
    <w:p>
      <w:r>
        <w:rPr>
          <w:rFonts w:ascii="等线(中文正文)" w:hAnsi="等线(中文正文)" w:cs="等线(中文正文)" w:eastAsia="等线(中文正文)"/>
          <w:b w:val="false"/>
          <w:i w:val="false"/>
          <w:sz w:val="20"/>
        </w:rPr>
        <w:t>发言人1 答：上海在2月末出台政策，对楼市影响较大，而北京和深圳的政策相对滞后，因此北京、深圳的表现比上海滞后一些。</w:t>
      </w:r>
    </w:p>
    <w:p>
      <w:r>
        <w:rPr>
          <w:rFonts w:ascii="等线(中文正文)" w:hAnsi="等线(中文正文)" w:cs="等线(中文正文)" w:eastAsia="等线(中文正文)"/>
          <w:b w:val="false"/>
          <w:i w:val="false"/>
          <w:sz w:val="20"/>
        </w:rPr>
        <w:t/>
      </w:r>
    </w:p>
    <w:p>
      <w:pPr>
        <w:pStyle w:val="ab"/>
      </w:pPr>
      <w:r>
        <w:t>发言人1 问：二手住宅的成交结构有何变化？</w:t>
      </w:r>
    </w:p>
    <w:p>
      <w:r>
        <w:rPr>
          <w:rFonts w:ascii="等线(中文正文)" w:hAnsi="等线(中文正文)" w:cs="等线(中文正文)" w:eastAsia="等线(中文正文)"/>
          <w:b w:val="false"/>
          <w:i w:val="false"/>
          <w:sz w:val="20"/>
        </w:rPr>
        <w:t>发言人1 答：二手住宅单套成交面积在逐渐修复，小户型成交占比下滑，以上海为例，二手房套均成交面积从2025年10月份的83平米左右水平下滑，但在政策影响下有所回升。北京和深圳趋势相似。</w:t>
      </w:r>
    </w:p>
    <w:p>
      <w:r>
        <w:rPr>
          <w:rFonts w:ascii="等线(中文正文)" w:hAnsi="等线(中文正文)" w:cs="等线(中文正文)" w:eastAsia="等线(中文正文)"/>
          <w:b w:val="false"/>
          <w:i w:val="false"/>
          <w:sz w:val="20"/>
        </w:rPr>
        <w:t/>
      </w:r>
    </w:p>
    <w:p>
      <w:pPr>
        <w:pStyle w:val="ab"/>
      </w:pPr>
      <w:r>
        <w:t>发言人1 问：二手住宅成交均价的情况如何？</w:t>
      </w:r>
    </w:p>
    <w:p>
      <w:r>
        <w:rPr>
          <w:rFonts w:ascii="等线(中文正文)" w:hAnsi="等线(中文正文)" w:cs="等线(中文正文)" w:eastAsia="等线(中文正文)"/>
          <w:b w:val="false"/>
          <w:i w:val="false"/>
          <w:sz w:val="20"/>
        </w:rPr>
        <w:t>发言人1 答：头部城市的二手住宅成交均价仍在底部逐渐修复，例如上海，从之前维持在4万平米以内，到今年五月份成交均价达到4万块钱每平米以上，虽然后期有所回调，但仍高于10月份水平，表现出韧性。北京与上海表现一致。</w:t>
      </w:r>
    </w:p>
    <w:p>
      <w:r>
        <w:rPr>
          <w:rFonts w:ascii="等线(中文正文)" w:hAnsi="等线(中文正文)" w:cs="等线(中文正文)" w:eastAsia="等线(中文正文)"/>
          <w:b w:val="false"/>
          <w:i w:val="false"/>
          <w:sz w:val="20"/>
        </w:rPr>
        <w:t/>
      </w:r>
    </w:p>
    <w:p>
      <w:pPr>
        <w:pStyle w:val="ab"/>
      </w:pPr>
      <w:r>
        <w:t>发言人1 问：租金回报率及与公积金贷款利率的价差情况如何？</w:t>
      </w:r>
    </w:p>
    <w:p>
      <w:r>
        <w:rPr>
          <w:rFonts w:ascii="等线(中文正文)" w:hAnsi="等线(中文正文)" w:cs="等线(中文正文)" w:eastAsia="等线(中文正文)"/>
          <w:b w:val="false"/>
          <w:i w:val="false"/>
          <w:sz w:val="20"/>
        </w:rPr>
        <w:t>发言人1 答：上海整体租金回报率去年12月份突破2%，今年上半年维持在合理位置，7月份进一步提高至1.97%，并且与五年期公积金贷款利率的价差缩小至63个BP，交通便利的小户型房屋租金回报率与公积金贷款利率价差更低。</w:t>
      </w:r>
    </w:p>
    <w:p>
      <w:r>
        <w:rPr>
          <w:rFonts w:ascii="等线(中文正文)" w:hAnsi="等线(中文正文)" w:cs="等线(中文正文)" w:eastAsia="等线(中文正文)"/>
          <w:b w:val="false"/>
          <w:i w:val="false"/>
          <w:sz w:val="20"/>
        </w:rPr>
        <w:t/>
      </w:r>
    </w:p>
    <w:p>
      <w:pPr>
        <w:pStyle w:val="ab"/>
      </w:pPr>
      <w:r>
        <w:t>发言人1 问：近期楼市政策放松周期的判断依据是什么？</w:t>
      </w:r>
    </w:p>
    <w:p>
      <w:r>
        <w:rPr>
          <w:rFonts w:ascii="等线(中文正文)" w:hAnsi="等线(中文正文)" w:cs="等线(中文正文)" w:eastAsia="等线(中文正文)"/>
          <w:b w:val="false"/>
          <w:i w:val="false"/>
          <w:sz w:val="20"/>
        </w:rPr>
        <w:t>发言人1 答：依据包括国务院修改住房公积金管理条例规定，以及北京、上海等地出台的优化限购、信贷和购房补贴政策，显示出头部城市正通过密集出台政策降低购房门槛，促进住房消费，预示着楼市可能进入新一轮因城施策的放松周期。</w:t>
      </w:r>
    </w:p>
    <w:p>
      <w:r>
        <w:rPr>
          <w:rFonts w:ascii="等线(中文正文)" w:hAnsi="等线(中文正文)" w:cs="等线(中文正文)" w:eastAsia="等线(中文正文)"/>
          <w:b w:val="false"/>
          <w:i w:val="false"/>
          <w:sz w:val="20"/>
        </w:rPr>
        <w:t/>
      </w:r>
    </w:p>
    <w:p>
      <w:pPr>
        <w:pStyle w:val="ab"/>
      </w:pPr>
      <w:r>
        <w:t>发言人1 问：上海“沪八条”中关于以旧换新购房政策的具体内容是什么？</w:t>
      </w:r>
    </w:p>
    <w:p>
      <w:r>
        <w:rPr>
          <w:rFonts w:ascii="等线(中文正文)" w:hAnsi="等线(中文正文)" w:cs="等线(中文正文)" w:eastAsia="等线(中文正文)"/>
          <w:b w:val="false"/>
          <w:i w:val="false"/>
          <w:sz w:val="20"/>
        </w:rPr>
        <w:t>发言人1 答：上海“沪八条”优化了公积金贷款和提取政策，并对以旧换新购房给予贷款和补贴支持。其中，对于二套房的首付款比例在外环外区域从20%降至15%，体现了政策对改善性住房需求的支持。</w:t>
      </w:r>
    </w:p>
    <w:p>
      <w:r>
        <w:rPr>
          <w:rFonts w:ascii="等线(中文正文)" w:hAnsi="等线(中文正文)" w:cs="等线(中文正文)" w:eastAsia="等线(中文正文)"/>
          <w:b w:val="false"/>
          <w:i w:val="false"/>
          <w:sz w:val="20"/>
        </w:rPr>
        <w:t/>
      </w:r>
    </w:p>
    <w:p>
      <w:pPr>
        <w:pStyle w:val="ab"/>
      </w:pPr>
      <w:r>
        <w:t>发言人1 问：上海购房政策中，对于首套房和二套房的商贷首付款比例是多少？外环外在上海房地产市场的成交结构中占据什么样的地位？</w:t>
      </w:r>
    </w:p>
    <w:p>
      <w:r>
        <w:rPr>
          <w:rFonts w:ascii="等线(中文正文)" w:hAnsi="等线(中文正文)" w:cs="等线(中文正文)" w:eastAsia="等线(中文正文)"/>
          <w:b w:val="false"/>
          <w:i w:val="false"/>
          <w:sz w:val="20"/>
        </w:rPr>
        <w:t>发言人1 答：目前在上海，首套房的商贷首付款比例调整到了15%，而二套房的区域差异较大，外环内是25%，但外环外已经降至15%。外环外在上海整体成交结构中扮演重要角色，其成交占比可以达到7成以上，今年8月中旬的数据甚至比2025年的占比还要高，政策有助于去化外环外的新房库存并刺激二手房成交。</w:t>
      </w:r>
    </w:p>
    <w:p>
      <w:r>
        <w:rPr>
          <w:rFonts w:ascii="等线(中文正文)" w:hAnsi="等线(中文正文)" w:cs="等线(中文正文)" w:eastAsia="等线(中文正文)"/>
          <w:b w:val="false"/>
          <w:i w:val="false"/>
          <w:sz w:val="20"/>
        </w:rPr>
        <w:t/>
      </w:r>
    </w:p>
    <w:p>
      <w:pPr>
        <w:pStyle w:val="ab"/>
      </w:pPr>
      <w:r>
        <w:t>发言人1 问：以旧换新政策的具体内容是什么？</w:t>
      </w:r>
    </w:p>
    <w:p>
      <w:r>
        <w:rPr>
          <w:rFonts w:ascii="等线(中文正文)" w:hAnsi="等线(中文正文)" w:cs="等线(中文正文)" w:eastAsia="等线(中文正文)"/>
          <w:b w:val="false"/>
          <w:i w:val="false"/>
          <w:sz w:val="20"/>
        </w:rPr>
        <w:t>发言人1 答：以旧换新政策主要包括两个方面。首先，购房者需出售现存的二手房并在外环外新购买新建商品住房并完成网签，在T减1或T加一时间内出售旧房，可获得新房贷款总额1%的补贴，最高补贴5万元。其次，购买新房并出售现有住房（无论内外环），也可获得3万元购房补贴。两项补贴可叠加，最多可拿到8万元。</w:t>
      </w:r>
    </w:p>
    <w:p>
      <w:r>
        <w:rPr>
          <w:rFonts w:ascii="等线(中文正文)" w:hAnsi="等线(中文正文)" w:cs="等线(中文正文)" w:eastAsia="等线(中文正文)"/>
          <w:b w:val="false"/>
          <w:i w:val="false"/>
          <w:sz w:val="20"/>
        </w:rPr>
        <w:t/>
      </w:r>
    </w:p>
    <w:p>
      <w:pPr>
        <w:pStyle w:val="ab"/>
      </w:pPr>
      <w:r>
        <w:t>发言人1 问：贷款补贴的覆盖范围及使用情况如何？</w:t>
      </w:r>
    </w:p>
    <w:p>
      <w:r>
        <w:rPr>
          <w:rFonts w:ascii="等线(中文正文)" w:hAnsi="等线(中文正文)" w:cs="等线(中文正文)" w:eastAsia="等线(中文正文)"/>
          <w:b w:val="false"/>
          <w:i w:val="false"/>
          <w:sz w:val="20"/>
        </w:rPr>
        <w:t>发言人1 答：贷款补贴针对的是贷款金额超过170万元的家庭，按照目前外环外的新房成交均价和首付比例计算，约有11000多户家庭可以享受到此补贴，预计年末之前可能会用完总补贴金额2亿元。</w:t>
      </w:r>
    </w:p>
    <w:p>
      <w:r>
        <w:rPr>
          <w:rFonts w:ascii="等线(中文正文)" w:hAnsi="等线(中文正文)" w:cs="等线(中文正文)" w:eastAsia="等线(中文正文)"/>
          <w:b w:val="false"/>
          <w:i w:val="false"/>
          <w:sz w:val="20"/>
        </w:rPr>
        <w:t/>
      </w:r>
    </w:p>
    <w:p>
      <w:pPr>
        <w:pStyle w:val="ab"/>
      </w:pPr>
      <w:r>
        <w:t>发言人1 问：近期房地产政策对市场有何影响？</w:t>
      </w:r>
    </w:p>
    <w:p>
      <w:r>
        <w:rPr>
          <w:rFonts w:ascii="等线(中文正文)" w:hAnsi="等线(中文正文)" w:cs="等线(中文正文)" w:eastAsia="等线(中文正文)"/>
          <w:b w:val="false"/>
          <w:i w:val="false"/>
          <w:sz w:val="20"/>
        </w:rPr>
        <w:t>发言人1 答：近期上海出台的楼市放松政策具有针对性，尤其是针对外环外的新房去化。同时，全国多地也在实施因城施策的楼市调控政策，公积金制度的升级也有望支撑楼市稳定发展。</w:t>
      </w:r>
    </w:p>
    <w:p>
      <w:r>
        <w:rPr>
          <w:rFonts w:ascii="等线(中文正文)" w:hAnsi="等线(中文正文)" w:cs="等线(中文正文)" w:eastAsia="等线(中文正文)"/>
          <w:b w:val="false"/>
          <w:i w:val="false"/>
          <w:sz w:val="20"/>
        </w:rPr>
        <w:t/>
      </w:r>
    </w:p>
    <w:p>
      <w:pPr>
        <w:pStyle w:val="ab"/>
      </w:pPr>
      <w:r>
        <w:t>发言人1 问：保险资金运用的情况如何？</w:t>
      </w:r>
    </w:p>
    <w:p>
      <w:r>
        <w:rPr>
          <w:rFonts w:ascii="等线(中文正文)" w:hAnsi="等线(中文正文)" w:cs="等线(中文正文)" w:eastAsia="等线(中文正文)"/>
          <w:b w:val="false"/>
          <w:i w:val="false"/>
          <w:sz w:val="20"/>
        </w:rPr>
        <w:t>发言人1 答：保险资金运用规模持续增长，截至2020年一季度，保险资产管理行业的总规模为184.89万亿，其中保险资金规模为38.48万亿，并在后续季度稳步上升，至2026年第二季度达到40.82万亿元，同比增长12.67%。从结构上看，人身险资金占比超过90%，且近年来维持高位，而财产险占比相对较低。</w:t>
      </w:r>
    </w:p>
    <w:p>
      <w:r>
        <w:rPr>
          <w:rFonts w:ascii="等线(中文正文)" w:hAnsi="等线(中文正文)" w:cs="等线(中文正文)" w:eastAsia="等线(中文正文)"/>
          <w:b w:val="false"/>
          <w:i w:val="false"/>
          <w:sz w:val="20"/>
        </w:rPr>
        <w:t/>
      </w:r>
    </w:p>
    <w:p>
      <w:pPr>
        <w:pStyle w:val="ab"/>
      </w:pPr>
      <w:r>
        <w:t>发言人1 问：保险资金的主要来源是什么？银行及银行理财资金在保险资金中的占比趋势是怎样的？</w:t>
      </w:r>
    </w:p>
    <w:p>
      <w:r>
        <w:rPr>
          <w:rFonts w:ascii="等线(中文正文)" w:hAnsi="等线(中文正文)" w:cs="等线(中文正文)" w:eastAsia="等线(中文正文)"/>
          <w:b w:val="false"/>
          <w:i w:val="false"/>
          <w:sz w:val="20"/>
        </w:rPr>
        <w:t>发言人1 答：保险资金主要来源于保费收入。银行及银行理财的资金占比处于下降趋势，从2023年的40.92%下降到2024年的11.91%。</w:t>
      </w:r>
    </w:p>
    <w:p>
      <w:r>
        <w:rPr>
          <w:rFonts w:ascii="等线(中文正文)" w:hAnsi="等线(中文正文)" w:cs="等线(中文正文)" w:eastAsia="等线(中文正文)"/>
          <w:b w:val="false"/>
          <w:i w:val="false"/>
          <w:sz w:val="20"/>
        </w:rPr>
        <w:t/>
      </w:r>
    </w:p>
    <w:p>
      <w:pPr>
        <w:pStyle w:val="ab"/>
      </w:pPr>
      <w:r>
        <w:t>发言人1 问：养老金在保险资金中的占比变化如何？近年来保险资金监管框架有何变化？</w:t>
      </w:r>
    </w:p>
    <w:p>
      <w:r>
        <w:rPr>
          <w:rFonts w:ascii="等线(中文正文)" w:hAnsi="等线(中文正文)" w:cs="等线(中文正文)" w:eastAsia="等线(中文正文)"/>
          <w:b w:val="false"/>
          <w:i w:val="false"/>
          <w:sz w:val="20"/>
        </w:rPr>
        <w:t>发言人1 答：养老金占比呈现上升趋势，从2022年的5.82%上升至2023年的8.78%。随着保险资金的不断增长和完善，保险资金监管框架持续加强。</w:t>
      </w:r>
    </w:p>
    <w:p>
      <w:r>
        <w:rPr>
          <w:rFonts w:ascii="等线(中文正文)" w:hAnsi="等线(中文正文)" w:cs="等线(中文正文)" w:eastAsia="等线(中文正文)"/>
          <w:b w:val="false"/>
          <w:i w:val="false"/>
          <w:sz w:val="20"/>
        </w:rPr>
        <w:t/>
      </w:r>
    </w:p>
    <w:p>
      <w:pPr>
        <w:pStyle w:val="ab"/>
      </w:pPr>
      <w:r>
        <w:t>发言人1 问：保险资金运用监管的要求有哪些？</w:t>
      </w:r>
    </w:p>
    <w:p>
      <w:r>
        <w:rPr>
          <w:rFonts w:ascii="等线(中文正文)" w:hAnsi="等线(中文正文)" w:cs="等线(中文正文)" w:eastAsia="等线(中文正文)"/>
          <w:b w:val="false"/>
          <w:i w:val="false"/>
          <w:sz w:val="20"/>
        </w:rPr>
        <w:t>发言人1 答：保险资金运用大概受到三个监管要求：投资范围和投资比率、资产负债匹配要求、常驻人要求。其中，投资范围和比例的要求整体趋势是逐步放宽限制，并与保险公司偿付能力挂钩。</w:t>
      </w:r>
    </w:p>
    <w:p>
      <w:r>
        <w:rPr>
          <w:rFonts w:ascii="等线(中文正文)" w:hAnsi="等线(中文正文)" w:cs="等线(中文正文)" w:eastAsia="等线(中文正文)"/>
          <w:b w:val="false"/>
          <w:i w:val="false"/>
          <w:sz w:val="20"/>
        </w:rPr>
        <w:t/>
      </w:r>
    </w:p>
    <w:p>
      <w:pPr>
        <w:pStyle w:val="ab"/>
      </w:pPr>
      <w:r>
        <w:t>发言人1 问：保险资金投资范围有何调整？</w:t>
      </w:r>
    </w:p>
    <w:p>
      <w:r>
        <w:rPr>
          <w:rFonts w:ascii="等线(中文正文)" w:hAnsi="等线(中文正文)" w:cs="等线(中文正文)" w:eastAsia="等线(中文正文)"/>
          <w:b w:val="false"/>
          <w:i w:val="false"/>
          <w:sz w:val="20"/>
        </w:rPr>
        <w:t>发言人1 答：从最早的五大类资产限定（流动性资产、固收类资产、权益类资产、不动产类资产和其他金融资产）到后来对权益类资产和不动产类资产的投资比例进行了提高。</w:t>
      </w:r>
    </w:p>
    <w:p>
      <w:r>
        <w:rPr>
          <w:rFonts w:ascii="等线(中文正文)" w:hAnsi="等线(中文正文)" w:cs="等线(中文正文)" w:eastAsia="等线(中文正文)"/>
          <w:b w:val="false"/>
          <w:i w:val="false"/>
          <w:sz w:val="20"/>
        </w:rPr>
        <w:t/>
      </w:r>
    </w:p>
    <w:p>
      <w:pPr>
        <w:pStyle w:val="ab"/>
      </w:pPr>
      <w:r>
        <w:t>发言人1 问：资产负债匹配要求方面的情况如何？</w:t>
      </w:r>
    </w:p>
    <w:p>
      <w:r>
        <w:rPr>
          <w:rFonts w:ascii="等线(中文正文)" w:hAnsi="等线(中文正文)" w:cs="等线(中文正文)" w:eastAsia="等线(中文正文)"/>
          <w:b w:val="false"/>
          <w:i w:val="false"/>
          <w:sz w:val="20"/>
        </w:rPr>
        <w:t>发言人1 答：国家金融总局出台的保险公司资产负债管理办法标志着保险行业进入资产负债管理新时代，要求保险公司满足期限结构匹配、成本收益匹配和现金流匹配等方面的要求。</w:t>
      </w:r>
    </w:p>
    <w:p>
      <w:r>
        <w:rPr>
          <w:rFonts w:ascii="等线(中文正文)" w:hAnsi="等线(中文正文)" w:cs="等线(中文正文)" w:eastAsia="等线(中文正文)"/>
          <w:b w:val="false"/>
          <w:i w:val="false"/>
          <w:sz w:val="20"/>
        </w:rPr>
        <w:t/>
      </w:r>
    </w:p>
    <w:p>
      <w:pPr>
        <w:pStyle w:val="ab"/>
      </w:pPr>
      <w:r>
        <w:t>发言人1 问：偿付能力监管的重要性及现状如何？</w:t>
      </w:r>
    </w:p>
    <w:p>
      <w:r>
        <w:rPr>
          <w:rFonts w:ascii="等线(中文正文)" w:hAnsi="等线(中文正文)" w:cs="等线(中文正文)" w:eastAsia="等线(中文正文)"/>
          <w:b w:val="false"/>
          <w:i w:val="false"/>
          <w:sz w:val="20"/>
        </w:rPr>
        <w:t>发言人1 答：偿付能力是现代保险监管的核心内容，是保险高质量发展的保障。目前行业已全面实施新监管规则，整体偿付能力充足且超过监管红线，但局部仍存在风险点，尤其是部分中小规模保险公司偿付能力不达标。</w:t>
      </w:r>
    </w:p>
    <w:p>
      <w:r>
        <w:rPr>
          <w:rFonts w:ascii="等线(中文正文)" w:hAnsi="等线(中文正文)" w:cs="等线(中文正文)" w:eastAsia="等线(中文正文)"/>
          <w:b w:val="false"/>
          <w:i w:val="false"/>
          <w:sz w:val="20"/>
        </w:rPr>
        <w:t/>
      </w:r>
    </w:p>
    <w:p>
      <w:pPr>
        <w:pStyle w:val="ab"/>
      </w:pPr>
      <w:r>
        <w:t>发言人1 问：新会计准则对保险行业有何影响？</w:t>
      </w:r>
    </w:p>
    <w:p>
      <w:r>
        <w:rPr>
          <w:rFonts w:ascii="等线(中文正文)" w:hAnsi="等线(中文正文)" w:cs="等线(中文正文)" w:eastAsia="等线(中文正文)"/>
          <w:b w:val="false"/>
          <w:i w:val="false"/>
          <w:sz w:val="20"/>
        </w:rPr>
        <w:t>发言人1 答：新会计准则（如新金融工具准则和新保险合同准则）改变了金融资产分类和减值计提方式，促使保险公司调整投资策略，强化固收类资产主导地位，并通过精细化收入确认和负债计量来优化资产负债管理。</w:t>
      </w:r>
    </w:p>
    <w:p>
      <w:r>
        <w:rPr>
          <w:rFonts w:ascii="等线(中文正文)" w:hAnsi="等线(中文正文)" w:cs="等线(中文正文)" w:eastAsia="等线(中文正文)"/>
          <w:b w:val="false"/>
          <w:i w:val="false"/>
          <w:sz w:val="20"/>
        </w:rPr>
        <w:t/>
      </w:r>
    </w:p>
    <w:p>
      <w:pPr>
        <w:pStyle w:val="ab"/>
      </w:pPr>
      <w:r>
        <w:t>发言人1 问：保险行业保费收入的结构变化是怎样的？保险行业负债端的变化趋势如何？</w:t>
      </w:r>
    </w:p>
    <w:p>
      <w:r>
        <w:rPr>
          <w:rFonts w:ascii="等线(中文正文)" w:hAnsi="等线(中文正文)" w:cs="等线(中文正文)" w:eastAsia="等线(中文正文)"/>
          <w:b w:val="false"/>
          <w:i w:val="false"/>
          <w:sz w:val="20"/>
        </w:rPr>
        <w:t>发言人1 答：人身险保费占比较大，接近八成；车险虽然在财险中占比有所下降，但仍维持在六成以上。此外，分红险成为各大保险公司产品转型的战略重心。负债端保费稳步增长，是保险资金运营的重要稳定来源。其中，人身险保费占比持续上升，车险占比虽下降但仍保持高位。</w:t>
      </w:r>
    </w:p>
    <w:p>
      <w:r>
        <w:rPr>
          <w:rFonts w:ascii="等线(中文正文)" w:hAnsi="等线(中文正文)" w:cs="等线(中文正文)" w:eastAsia="等线(中文正文)"/>
          <w:b w:val="false"/>
          <w:i w:val="false"/>
          <w:sz w:val="20"/>
        </w:rPr>
        <w:t/>
      </w:r>
    </w:p>
    <w:p>
      <w:pPr>
        <w:pStyle w:val="ab"/>
      </w:pPr>
      <w:r>
        <w:t>发言人1 问：预定利率下调对保险行业有何影响？</w:t>
      </w:r>
    </w:p>
    <w:p>
      <w:r>
        <w:rPr>
          <w:rFonts w:ascii="等线(中文正文)" w:hAnsi="等线(中文正文)" w:cs="等线(中文正文)" w:eastAsia="等线(中文正文)"/>
          <w:b w:val="false"/>
          <w:i w:val="false"/>
          <w:sz w:val="20"/>
        </w:rPr>
        <w:t>发言人1 答：预定利率下调有助于降低保险负债成本，而分红险因其超额收益分配机制，在利率下行背景下有望提升保险公司投资收益，但也加大了传统险种销售难度。</w:t>
      </w:r>
    </w:p>
    <w:p>
      <w:r>
        <w:rPr>
          <w:rFonts w:ascii="等线(中文正文)" w:hAnsi="等线(中文正文)" w:cs="等线(中文正文)" w:eastAsia="等线(中文正文)"/>
          <w:b w:val="false"/>
          <w:i w:val="false"/>
          <w:sz w:val="20"/>
        </w:rPr>
        <w:t/>
      </w:r>
    </w:p>
    <w:p>
      <w:pPr>
        <w:pStyle w:val="ab"/>
      </w:pPr>
      <w:r>
        <w:t>发言人1 问：保险资金对债券资产的配置情况如何变化？</w:t>
      </w:r>
    </w:p>
    <w:p>
      <w:r>
        <w:rPr>
          <w:rFonts w:ascii="等线(中文正文)" w:hAnsi="等线(中文正文)" w:cs="等线(中文正文)" w:eastAsia="等线(中文正文)"/>
          <w:b w:val="false"/>
          <w:i w:val="false"/>
          <w:sz w:val="20"/>
        </w:rPr>
        <w:t>发言人1 答：根据保险资产管理行业的报告，保险资金对债券资产的配置从2022年的40.2%上升到2024年的50.7%，提升了8个百分点左右。其中，人寿险公司债券资产配置占比高于财险公司约7个百分点。从2025年第三季度开始，这一比例呈上升趋势，至2026年第二季度达到50.52%。</w:t>
      </w:r>
    </w:p>
    <w:p>
      <w:r>
        <w:rPr>
          <w:rFonts w:ascii="等线(中文正文)" w:hAnsi="等线(中文正文)" w:cs="等线(中文正文)" w:eastAsia="等线(中文正文)"/>
          <w:b w:val="false"/>
          <w:i w:val="false"/>
          <w:sz w:val="20"/>
        </w:rPr>
        <w:t/>
      </w:r>
    </w:p>
    <w:p>
      <w:pPr>
        <w:pStyle w:val="ab"/>
      </w:pPr>
      <w:r>
        <w:t>发言人1 问：保险资金在低利率环境下的配置变化是怎样的？</w:t>
      </w:r>
    </w:p>
    <w:p>
      <w:r>
        <w:rPr>
          <w:rFonts w:ascii="等线(中文正文)" w:hAnsi="等线(中文正文)" w:cs="等线(中文正文)" w:eastAsia="等线(中文正文)"/>
          <w:b w:val="false"/>
          <w:i w:val="false"/>
          <w:sz w:val="20"/>
        </w:rPr>
        <w:t>发言人1 答：在低利率环境下，保险资金对存款的配置比例显著下行，从2020年的最高40.05%下降至2025年的7.89%，财产险和人身险分别下降了39个百分点和4.32个百分点。同时，保险资金对城管配置的比例也明显下行，而非标资产在监管导向下占比不断降低，例如非标资产在理财产品投资中的占比从2013年的27.49%下降到2026年第一季度的5.4%。</w:t>
      </w:r>
    </w:p>
    <w:p>
      <w:r>
        <w:rPr>
          <w:rFonts w:ascii="等线(中文正文)" w:hAnsi="等线(中文正文)" w:cs="等线(中文正文)" w:eastAsia="等线(中文正文)"/>
          <w:b w:val="false"/>
          <w:i w:val="false"/>
          <w:sz w:val="20"/>
        </w:rPr>
        <w:t/>
      </w:r>
    </w:p>
    <w:p>
      <w:pPr>
        <w:pStyle w:val="ab"/>
      </w:pPr>
      <w:r>
        <w:t>发言人1 问：权益类资产的配置情况如何？</w:t>
      </w:r>
    </w:p>
    <w:p>
      <w:r>
        <w:rPr>
          <w:rFonts w:ascii="等线(中文正文)" w:hAnsi="等线(中文正文)" w:cs="等线(中文正文)" w:eastAsia="等线(中文正文)"/>
          <w:b w:val="false"/>
          <w:i w:val="false"/>
          <w:sz w:val="20"/>
        </w:rPr>
        <w:t>发言人1 答：权益类资产配置经历了波动后整体提升，无论是配置规模还是配置占比都有所增加。保险资金对权益类资产配置规模从2024年第一季度的3.6万亿增长到2026年第二季度的6.39万亿，其中对股票资产的配置占比从6.75%提高到10.41%。尽管人身险和财产险均呈现上升趋势，但人身险公司对股票资产的配置占比高于财产险，差距约为一个百分点。</w:t>
      </w:r>
    </w:p>
    <w:p>
      <w:r>
        <w:rPr>
          <w:rFonts w:ascii="等线(中文正文)" w:hAnsi="等线(中文正文)" w:cs="等线(中文正文)" w:eastAsia="等线(中文正文)"/>
          <w:b w:val="false"/>
          <w:i w:val="false"/>
          <w:sz w:val="20"/>
        </w:rPr>
        <w:t/>
      </w:r>
    </w:p>
    <w:p>
      <w:pPr>
        <w:pStyle w:val="ab"/>
      </w:pPr>
      <w:r>
        <w:t>发言人1 问：对于下半年保险机构资产配置有何展望？</w:t>
      </w:r>
    </w:p>
    <w:p>
      <w:r>
        <w:rPr>
          <w:rFonts w:ascii="等线(中文正文)" w:hAnsi="等线(中文正文)" w:cs="等线(中文正文)" w:eastAsia="等线(中文正文)"/>
          <w:b w:val="false"/>
          <w:i w:val="false"/>
          <w:sz w:val="20"/>
        </w:rPr>
        <w:t>发言人1 答：预计下半年保费规模同比增速将小幅下降至5%左右，全年累计保费约6.4万亿。负债端将加快向混合型转型，尤其在利率增速下降背景下，保险公司会加快分红险种的转型。资产端方面，固收类资产仍为保险资金配置压舱石，预计将继续增配长久期资产如债券，并加大对超长期地方政府债券的配置。此外，权益类资产配置将加大，特别是高股息和科技类资产，预计到年底权益配置占比有望提高约两个百分点，同时持续关注银行、公用事业、交通运输等高股息板块以及硬科技等战略方向。</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2026-08-24T14:21:21Z</dcterms:created>
  <dc:creator>Apache POI</dc:creator>
</cp:coreProperties>
</file>