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浙商固收 - 债券借贷视角看券商机构行为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债券借贷 券源成本 期限 借贷费率 做空 套利 回购 券商 利率债 信用债 集中借贷 融券 应急交割 流动性 加杠杆 套息交易 微观信号 相对价值 市场功能 单向做空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债券借贷作为连接证券回购与衍生品的关键工具，为市场提供了关于特定债券需求与成本的微观信号。该交易活动涵盖起始、存续期管理与平仓三个阶段，核心要素涉及借贷期限与费用计算。与回购市场相比，债券借贷在价格信号、工具应用与市场功能上存在差异。杨雨涵详细阐述了债券借贷的制度框架、市场格局及其实现融资杠杆、做空、套利与应急交割等策略的方法。此外，分析了借贷活动与收益率、期货市场间的联动，强调集中借贷对提升市场效率的作用。通过观察借贷量、收益率与期货的关联，以及主体、券种、期限、集中度维度的价格变动，投资者可洞察市场情绪与机构行为，为投资决策提供依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债券借贷：理解券商交易策略的枢纽</w:t>
      </w:r>
    </w:p>
    <w:p>
      <w:r>
        <w:rPr>
          <w:rFonts w:ascii="等线(中文正文)" w:hAnsi="等线(中文正文)" w:cs="等线(中文正文)" w:eastAsia="等线(中文正文)"/>
          <w:b w:val="false"/>
          <w:i w:val="false"/>
          <w:sz w:val="20"/>
        </w:rPr>
        <w:t>分享了债券借贷作为连接证券回购与衍生品的关键工具，如何在债券市场中支持做空套利、交割股权及结构性策略，揭示了债券借贷的交易流程及其在揭示市场缺券状况、借贷成本及结构性博弈方面的独特价值。</w:t>
      </w:r>
    </w:p>
    <w:p>
      <w:r>
        <w:rPr>
          <w:rFonts w:ascii="等线(中文正文)" w:hAnsi="等线(中文正文)" w:cs="等线(中文正文)" w:eastAsia="等线(中文正文)"/>
          <w:b w:val="false"/>
          <w:i w:val="false"/>
          <w:sz w:val="20"/>
        </w:rPr>
        <w:t/>
      </w:r>
    </w:p>
    <w:p>
      <w:pPr>
        <w:pStyle w:val="ab"/>
        <w:numPr>
          <w:numId w:val="2"/>
        </w:numPr>
      </w:pPr>
      <w:r>
        <w:t>02:27 债券借贷与回购机制解析</w:t>
      </w:r>
    </w:p>
    <w:p>
      <w:r>
        <w:rPr>
          <w:rFonts w:ascii="等线(中文正文)" w:hAnsi="等线(中文正文)" w:cs="等线(中文正文)" w:eastAsia="等线(中文正文)"/>
          <w:b w:val="false"/>
          <w:i w:val="false"/>
          <w:sz w:val="20"/>
        </w:rPr>
        <w:t>对话详细对比了债券借贷与回购在价格信号、工具分工、所有权归属等方面的差异。借贷侧重于券的使用权，反映特定券的稀缺性和流动性，适用于套利和做空；而回购侧重于资金流动性和杠杆，主要用于获取现金。借贷解决了券源问题，支持做空和交割，而回购通过质押债券融入资金，提升杠杆，所有权归属方面，借贷让借入方获得标的券的使用权，回购则冻结债券所有权，不转移。</w:t>
      </w:r>
    </w:p>
    <w:p>
      <w:r>
        <w:rPr>
          <w:rFonts w:ascii="等线(中文正文)" w:hAnsi="等线(中文正文)" w:cs="等线(中文正文)" w:eastAsia="等线(中文正文)"/>
          <w:b w:val="false"/>
          <w:i w:val="false"/>
          <w:sz w:val="20"/>
        </w:rPr>
        <w:t/>
      </w:r>
    </w:p>
    <w:p>
      <w:pPr>
        <w:pStyle w:val="ab"/>
        <w:numPr>
          <w:numId w:val="3"/>
        </w:numPr>
      </w:pPr>
      <w:r>
        <w:t>05:25 集中借贷制度与债券借贷市场发展</w:t>
      </w:r>
    </w:p>
    <w:p>
      <w:r>
        <w:rPr>
          <w:rFonts w:ascii="等线(中文正文)" w:hAnsi="等线(中文正文)" w:cs="等线(中文正文)" w:eastAsia="等线(中文正文)"/>
          <w:b w:val="false"/>
          <w:i w:val="false"/>
          <w:sz w:val="20"/>
        </w:rPr>
        <w:t>对话探讨了集中借贷制度在债券借贷市场中的角色，强调了其在解决应急融券需求、提高借贷效率方面的独特价值。集中借贷通过系统化和标准化的匹配机制，减少了交易摩擦，改善了中小机构的市场参与性，与传统的双边借贷形成了互补，共同构建了多层次的债券借贷制度结构。</w:t>
      </w:r>
    </w:p>
    <w:p>
      <w:r>
        <w:rPr>
          <w:rFonts w:ascii="等线(中文正文)" w:hAnsi="等线(中文正文)" w:cs="等线(中文正文)" w:eastAsia="等线(中文正文)"/>
          <w:b w:val="false"/>
          <w:i w:val="false"/>
          <w:sz w:val="20"/>
        </w:rPr>
        <w:t/>
      </w:r>
    </w:p>
    <w:p>
      <w:pPr>
        <w:pStyle w:val="ab"/>
        <w:numPr>
          <w:numId w:val="4"/>
        </w:numPr>
      </w:pPr>
      <w:r>
        <w:t>09:33 债券借贷用途与市场影响解析</w:t>
      </w:r>
    </w:p>
    <w:p>
      <w:r>
        <w:rPr>
          <w:rFonts w:ascii="等线(中文正文)" w:hAnsi="等线(中文正文)" w:cs="等线(中文正文)" w:eastAsia="等线(中文正文)"/>
          <w:b w:val="false"/>
          <w:i w:val="false"/>
          <w:sz w:val="20"/>
        </w:rPr>
        <w:t>对话深入探讨了债券借贷的四大用途：融资加杠杆、借券卖出等，分析了其对利率的影响及市场操作策略，特别指出券商借券卖出对利率的直接卖压效应，以及借贷量与市场收益率变化的相关性，强调了借贷余额作为市场参与度指标的重要性。</w:t>
      </w:r>
    </w:p>
    <w:p>
      <w:r>
        <w:rPr>
          <w:rFonts w:ascii="等线(中文正文)" w:hAnsi="等线(中文正文)" w:cs="等线(中文正文)" w:eastAsia="等线(中文正文)"/>
          <w:b w:val="false"/>
          <w:i w:val="false"/>
          <w:sz w:val="20"/>
        </w:rPr>
        <w:t/>
      </w:r>
    </w:p>
    <w:p>
      <w:pPr>
        <w:pStyle w:val="ab"/>
        <w:numPr>
          <w:numId w:val="5"/>
        </w:numPr>
      </w:pPr>
      <w:r>
        <w:t>11:54 债券借贷市场分析与套息交易策略</w:t>
      </w:r>
    </w:p>
    <w:p>
      <w:r>
        <w:rPr>
          <w:rFonts w:ascii="等线(中文正文)" w:hAnsi="等线(中文正文)" w:cs="等线(中文正文)" w:eastAsia="等线(中文正文)"/>
          <w:b w:val="false"/>
          <w:i w:val="false"/>
          <w:sz w:val="20"/>
        </w:rPr>
        <w:t>债券借贷支持两类套利逻辑：相对价值型套息和票息型套息，影响债市相对利差和曲线形态。市场格局中，券商和银行为主要参与者，L001和L007是短期品种主力，国债和政金债占主导地位。25年全年结算总额达51.3万亿，同比增长28.5%。</w:t>
      </w:r>
    </w:p>
    <w:p>
      <w:r>
        <w:rPr>
          <w:rFonts w:ascii="等线(中文正文)" w:hAnsi="等线(中文正文)" w:cs="等线(中文正文)" w:eastAsia="等线(中文正文)"/>
          <w:b w:val="false"/>
          <w:i w:val="false"/>
          <w:sz w:val="20"/>
        </w:rPr>
        <w:t/>
      </w:r>
    </w:p>
    <w:p>
      <w:pPr>
        <w:pStyle w:val="ab"/>
        <w:numPr>
          <w:numId w:val="6"/>
        </w:numPr>
      </w:pPr>
      <w:r>
        <w:t>14:36 借贷费率影响因素与市场动态分析</w:t>
      </w:r>
    </w:p>
    <w:p>
      <w:r>
        <w:rPr>
          <w:rFonts w:ascii="等线(中文正文)" w:hAnsi="等线(中文正文)" w:cs="等线(中文正文)" w:eastAsia="等线(中文正文)"/>
          <w:b w:val="false"/>
          <w:i w:val="false"/>
          <w:sz w:val="20"/>
        </w:rPr>
        <w:t>借贷费率受券种、期限、新老属性及流动性影响，活跃券因需求大费率高，新券上市初期费率高后递减，长期债费率高且受少数交易影响。活跃券因交易需求大，费率随借贷氛围推高，如30年期国债费率在三月显著上升。</w:t>
      </w:r>
    </w:p>
    <w:p>
      <w:r>
        <w:rPr>
          <w:rFonts w:ascii="等线(中文正文)" w:hAnsi="等线(中文正文)" w:cs="等线(中文正文)" w:eastAsia="等线(中文正文)"/>
          <w:b w:val="false"/>
          <w:i w:val="false"/>
          <w:sz w:val="20"/>
        </w:rPr>
        <w:t/>
      </w:r>
    </w:p>
    <w:p>
      <w:pPr>
        <w:pStyle w:val="ab"/>
        <w:numPr>
          <w:numId w:val="7"/>
        </w:numPr>
      </w:pPr>
      <w:r>
        <w:t>18:21 券商自营的债券定价与做空策略分析</w:t>
      </w:r>
    </w:p>
    <w:p>
      <w:r>
        <w:rPr>
          <w:rFonts w:ascii="等线(中文正文)" w:hAnsi="等线(中文正文)" w:cs="等线(中文正文)" w:eastAsia="等线(中文正文)"/>
          <w:b w:val="false"/>
          <w:i w:val="false"/>
          <w:sz w:val="20"/>
        </w:rPr>
        <w:t>对话讨论了券商在债券市场执行的主要策略，包括单向做空策略及非久期策略，特别是通过衍生品协同的进攻框架。这些策略在趋势性熊市环境下胜率较高，依赖于收益率趋势性上行、缺乏强配置盘买盘承接以及新老券利差的存在。券商通过介入并卖出超长债，同时建立期货空头，表达对宏观利率方向的判断，但策略并非稳定盈利，需满足特定市场条件。</w:t>
      </w:r>
    </w:p>
    <w:p>
      <w:r>
        <w:rPr>
          <w:rFonts w:ascii="等线(中文正文)" w:hAnsi="等线(中文正文)" w:cs="等线(中文正文)" w:eastAsia="等线(中文正文)"/>
          <w:b w:val="false"/>
          <w:i w:val="false"/>
          <w:sz w:val="20"/>
        </w:rPr>
        <w:t/>
      </w:r>
    </w:p>
    <w:p>
      <w:pPr>
        <w:pStyle w:val="ab"/>
        <w:numPr>
          <w:numId w:val="8"/>
        </w:numPr>
      </w:pPr>
      <w:r>
        <w:t>20:54 新老券利差与双倍组合策略解析</w:t>
      </w:r>
    </w:p>
    <w:p>
      <w:r>
        <w:rPr>
          <w:rFonts w:ascii="等线(中文正文)" w:hAnsi="等线(中文正文)" w:cs="等线(中文正文)" w:eastAsia="等线(中文正文)"/>
          <w:b w:val="false"/>
          <w:i w:val="false"/>
          <w:sz w:val="20"/>
        </w:rPr>
        <w:t>讨论了新老券利差的形成机制及其在熊市中的变化，指出新券流动性溢价在收益率上行时快速消失，导致利差收窄。通过借券卖出与期货空头的双倍组合策略，利用新老券价差收敛收益覆盖期货展期成本，实现更优的市场操作。案例分析了2026年3月中旬至4月中旬期间，投资者布局新老券利差回归策略的市场表现，验证了策略的有效性及利差走势的M型特征。</w:t>
      </w:r>
    </w:p>
    <w:p>
      <w:r>
        <w:rPr>
          <w:rFonts w:ascii="等线(中文正文)" w:hAnsi="等线(中文正文)" w:cs="等线(中文正文)" w:eastAsia="等线(中文正文)"/>
          <w:b w:val="false"/>
          <w:i w:val="false"/>
          <w:sz w:val="20"/>
        </w:rPr>
        <w:t/>
      </w:r>
    </w:p>
    <w:p>
      <w:pPr>
        <w:pStyle w:val="ab"/>
        <w:numPr>
          <w:numId w:val="9"/>
        </w:numPr>
      </w:pPr>
      <w:r>
        <w:t>25:24 债券借贷与相对价值策略在震荡市中的应用</w:t>
      </w:r>
    </w:p>
    <w:p>
      <w:r>
        <w:rPr>
          <w:rFonts w:ascii="等线(中文正文)" w:hAnsi="等线(中文正文)" w:cs="等线(中文正文)" w:eastAsia="等线(中文正文)"/>
          <w:b w:val="false"/>
          <w:i w:val="false"/>
          <w:sz w:val="20"/>
        </w:rPr>
        <w:t>讨论了在震荡市场环境下，通过债券借贷实施相对价值交易策略，如利差收敛交易和曲线交易，以优化券种之间的相对定价和曲线斜率。强调了这些策略相较于单向做空，对债市总方向的扰动较小，但能有效促进市场定价效率，特别是在低利率、低波动的环境中更为活跃。</w:t>
      </w:r>
    </w:p>
    <w:p>
      <w:r>
        <w:rPr>
          <w:rFonts w:ascii="等线(中文正文)" w:hAnsi="等线(中文正文)" w:cs="等线(中文正文)" w:eastAsia="等线(中文正文)"/>
          <w:b w:val="false"/>
          <w:i w:val="false"/>
          <w:sz w:val="20"/>
        </w:rPr>
        <w:t/>
      </w:r>
    </w:p>
    <w:p>
      <w:pPr>
        <w:pStyle w:val="ab"/>
        <w:numPr>
          <w:numId w:val="10"/>
        </w:numPr>
      </w:pPr>
      <w:r>
        <w:t>27:11 债券借贷指标分析与市场情绪洞察</w:t>
      </w:r>
    </w:p>
    <w:p>
      <w:r>
        <w:rPr>
          <w:rFonts w:ascii="等线(中文正文)" w:hAnsi="等线(中文正文)" w:cs="等线(中文正文)" w:eastAsia="等线(中文正文)"/>
          <w:b w:val="false"/>
          <w:i w:val="false"/>
          <w:sz w:val="20"/>
        </w:rPr>
        <w:t>通过观察券商作为主要借入方的净介入、高流动性长久期活跃券的借贷行为、高借贷费率下的市场交易意愿、个券借贷集中度以及借贷收益率与期货现券成交的联动性，可以综合分析市场情绪和机构行为对债市的影响，其中券商介入、高流动性长久期券种的借贷、高费率下的借贷余额上升、个券借贷集中度超过监管阈值以及借贷收益率与现券成交方向一致时，市场单向做空信号更强。</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她，即浙商固收组的利率分析师杨雨涵，今晚的发言集中于债券借贷工具，旨在深入理解券商的交易策略。她详细介绍了债券借贷作为连接证券回购和衍生品的桥梁，对于做空套利、交割股权以及结构性策略的重要性。杨分析师详细阐述了债券借贷的交易流程，包括起始、存续期管理、平仓及到期归还，并强调了借贷期限、交易品种和费用计算的核心要素。她还对比了债券借贷与回购的差异，指出债券借贷更侧重于套利和做空，而回购则更侧重于融资和杠杆的使用。此外，她讨论了集中债券借贷的制度框架及其对市场效率的提升作用，以及券商在借贷市场中的主要活动，包括借券卖出、套息交易和应急交割。最后，她提供了五组关键指标用于跟踪债券借贷市场情绪和机构行为。</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问：债券借贷在理解券商交易型策略中扮演了什么角色？</w:t>
      </w:r>
    </w:p>
    <w:p>
      <w:r>
        <w:rPr>
          <w:rFonts w:ascii="等线(中文正文)" w:hAnsi="等线(中文正文)" w:cs="等线(中文正文)" w:eastAsia="等线(中文正文)"/>
          <w:b w:val="false"/>
          <w:i w:val="false"/>
          <w:sz w:val="20"/>
        </w:rPr>
        <w:t>发言人1 答：债券借贷是连接证券回购和衍生品的一个关键工具，通过提供一个底层分析框架，有助于深入理解券商采用的各种交易策略，特别是其在债券市场进行做空套利、交割股权以及结构性策略时的重要作用。</w:t>
      </w:r>
    </w:p>
    <w:p>
      <w:r>
        <w:rPr>
          <w:rFonts w:ascii="等线(中文正文)" w:hAnsi="等线(中文正文)" w:cs="等线(中文正文)" w:eastAsia="等线(中文正文)"/>
          <w:b w:val="false"/>
          <w:i w:val="false"/>
          <w:sz w:val="20"/>
        </w:rPr>
        <w:t/>
      </w:r>
    </w:p>
    <w:p>
      <w:pPr>
        <w:pStyle w:val="ab"/>
      </w:pPr>
      <w:r>
        <w:t>发言人1 问：债券借贷的主要特点和功能是什么？</w:t>
      </w:r>
    </w:p>
    <w:p>
      <w:r>
        <w:rPr>
          <w:rFonts w:ascii="等线(中文正文)" w:hAnsi="等线(中文正文)" w:cs="等线(中文正文)" w:eastAsia="等线(中文正文)"/>
          <w:b w:val="false"/>
          <w:i w:val="false"/>
          <w:sz w:val="20"/>
        </w:rPr>
        <w:t>发言人1 答：债券借贷是一种以债券为质物进行借券的交易模式，其中融入方提供质押物并支付借贷费用以获取标的券使用权。其功能体现在直接揭示当前市场对特定券的需求程度、成本付出及是否存在结构性做空或相对价值博弈等方面。</w:t>
      </w:r>
    </w:p>
    <w:p>
      <w:r>
        <w:rPr>
          <w:rFonts w:ascii="等线(中文正文)" w:hAnsi="等线(中文正文)" w:cs="等线(中文正文)" w:eastAsia="等线(中文正文)"/>
          <w:b w:val="false"/>
          <w:i w:val="false"/>
          <w:sz w:val="20"/>
        </w:rPr>
        <w:t/>
      </w:r>
    </w:p>
    <w:p>
      <w:pPr>
        <w:pStyle w:val="ab"/>
      </w:pPr>
      <w:r>
        <w:t>发言人1 问：债券借贷的整体交易流程包含哪些阶段？</w:t>
      </w:r>
    </w:p>
    <w:p>
      <w:r>
        <w:rPr>
          <w:rFonts w:ascii="等线(中文正文)" w:hAnsi="等线(中文正文)" w:cs="等线(中文正文)" w:eastAsia="等线(中文正文)"/>
          <w:b w:val="false"/>
          <w:i w:val="false"/>
          <w:sz w:val="20"/>
        </w:rPr>
        <w:t>发言人1 答：债券借贷的交易流程分为三个阶段：起始阶段，融入方提交质押债券并获得标的券使用权，融出方完成质押登记与划转；存续期阶段，融入方有权处置标的券并按需补给票息给融出方；平仓和到期归还阶段，融入方需在市场上买回同等数量的标的券进行归还，并解冻质押债券。</w:t>
      </w:r>
    </w:p>
    <w:p>
      <w:r>
        <w:rPr>
          <w:rFonts w:ascii="等线(中文正文)" w:hAnsi="等线(中文正文)" w:cs="等线(中文正文)" w:eastAsia="等线(中文正文)"/>
          <w:b w:val="false"/>
          <w:i w:val="false"/>
          <w:sz w:val="20"/>
        </w:rPr>
        <w:t/>
      </w:r>
    </w:p>
    <w:p>
      <w:pPr>
        <w:pStyle w:val="ab"/>
      </w:pPr>
      <w:r>
        <w:t>发言人1 问：债券借贷的核心要素有哪些？</w:t>
      </w:r>
    </w:p>
    <w:p>
      <w:r>
        <w:rPr>
          <w:rFonts w:ascii="等线(中文正文)" w:hAnsi="等线(中文正文)" w:cs="等线(中文正文)" w:eastAsia="等线(中文正文)"/>
          <w:b w:val="false"/>
          <w:i w:val="false"/>
          <w:sz w:val="20"/>
        </w:rPr>
        <w:t>发言人1 答：债券借贷的核心要素包括借贷期限（最短一天，最长365天），品种（隔夜、七天到12个月不等），以及费用计算方式（主要基于借贷费率、标的券面额、实际天数与365天的比例）。此外，债券借贷还围绕券源成本和期限这两个核心进行操作。</w:t>
      </w:r>
    </w:p>
    <w:p>
      <w:r>
        <w:rPr>
          <w:rFonts w:ascii="等线(中文正文)" w:hAnsi="等线(中文正文)" w:cs="等线(中文正文)" w:eastAsia="等线(中文正文)"/>
          <w:b w:val="false"/>
          <w:i w:val="false"/>
          <w:sz w:val="20"/>
        </w:rPr>
        <w:t/>
      </w:r>
    </w:p>
    <w:p>
      <w:pPr>
        <w:pStyle w:val="ab"/>
      </w:pPr>
      <w:r>
        <w:t>发言人1 问：债券借贷与回购在价格信号含义和工具分工上有何区别？</w:t>
      </w:r>
    </w:p>
    <w:p>
      <w:r>
        <w:rPr>
          <w:rFonts w:ascii="等线(中文正文)" w:hAnsi="等线(中文正文)" w:cs="等线(中文正文)" w:eastAsia="等线(中文正文)"/>
          <w:b w:val="false"/>
          <w:i w:val="false"/>
          <w:sz w:val="20"/>
        </w:rPr>
        <w:t>发言人1 答：回购是押券借钱，侧重于融资和杠杆；而债券借贷则是押券借券，更侧重于套利和做空。回购利率反映资金价格，而借贷费率反映特定券的稀缺程度、做空需求和流动性溢价。在工具分工上，回购是无担保工具，债券借贷更像是兼具交易端和工作端的工具。</w:t>
      </w:r>
    </w:p>
    <w:p>
      <w:r>
        <w:rPr>
          <w:rFonts w:ascii="等线(中文正文)" w:hAnsi="等线(中文正文)" w:cs="等线(中文正文)" w:eastAsia="等线(中文正文)"/>
          <w:b w:val="false"/>
          <w:i w:val="false"/>
          <w:sz w:val="20"/>
        </w:rPr>
        <w:t/>
      </w:r>
    </w:p>
    <w:p>
      <w:pPr>
        <w:pStyle w:val="ab"/>
      </w:pPr>
      <w:r>
        <w:t>发言人1 问：债券借贷与其他融资融券工具（如质押式回购、买断式回购）有何不同？</w:t>
      </w:r>
    </w:p>
    <w:p>
      <w:r>
        <w:rPr>
          <w:rFonts w:ascii="等线(中文正文)" w:hAnsi="等线(中文正文)" w:cs="等线(中文正文)" w:eastAsia="等线(中文正文)"/>
          <w:b w:val="false"/>
          <w:i w:val="false"/>
          <w:sz w:val="20"/>
        </w:rPr>
        <w:t>发言人1 答：债券借贷主要解决券源问题，支持做空套利和交割；质押式回购主要解决基金流动性问题并通过质押债券融入资金；买断式回购则是通过转移债权所有权实现融资和流动性管理。从所有权归属看，质押式回购下债券所有权不转移，而在债券借贷过程中，借入方获得的是标的券的可适用性，更接近证券融通。</w:t>
      </w:r>
    </w:p>
    <w:p>
      <w:r>
        <w:rPr>
          <w:rFonts w:ascii="等线(中文正文)" w:hAnsi="等线(中文正文)" w:cs="等线(中文正文)" w:eastAsia="等线(中文正文)"/>
          <w:b w:val="false"/>
          <w:i w:val="false"/>
          <w:sz w:val="20"/>
        </w:rPr>
        <w:t/>
      </w:r>
    </w:p>
    <w:p>
      <w:pPr>
        <w:pStyle w:val="ab"/>
      </w:pPr>
      <w:r>
        <w:t>发言人1 问：集中债券借贷是如何启动并发展的？</w:t>
      </w:r>
    </w:p>
    <w:p>
      <w:r>
        <w:rPr>
          <w:rFonts w:ascii="等线(中文正文)" w:hAnsi="等线(中文正文)" w:cs="等线(中文正文)" w:eastAsia="等线(中文正文)"/>
          <w:b w:val="false"/>
          <w:i w:val="false"/>
          <w:sz w:val="20"/>
        </w:rPr>
        <w:t>发言人1 答：集中债券借贷于2006年开始启动，经过一段时间的低活跃状态后，在2022年至2025年间随着债券市场的扩张和参与主体的多样化，制度加速完善并出现了爆发性增长。集中借贷作为银行间双边借贷的补充，旨在解决日内的应急融券需求，通过中央结算公司和同业拆借中心提供融券服务，实现担保品管理和结算自动化，从而提高借贷效率并改善中小机构合作可得性。</w:t>
      </w:r>
    </w:p>
    <w:p>
      <w:r>
        <w:rPr>
          <w:rFonts w:ascii="等线(中文正文)" w:hAnsi="等线(中文正文)" w:cs="等线(中文正文)" w:eastAsia="等线(中文正文)"/>
          <w:b w:val="false"/>
          <w:i w:val="false"/>
          <w:sz w:val="20"/>
        </w:rPr>
        <w:t/>
      </w:r>
    </w:p>
    <w:p>
      <w:pPr>
        <w:pStyle w:val="ab"/>
      </w:pPr>
      <w:r>
        <w:t>发言人1 问：从借出方的角度，债券借贷的主要逻辑是什么？债券借贷在技术方案上有哪四个主要用途？</w:t>
      </w:r>
    </w:p>
    <w:p>
      <w:r>
        <w:rPr>
          <w:rFonts w:ascii="等线(中文正文)" w:hAnsi="等线(中文正文)" w:cs="等线(中文正文)" w:eastAsia="等线(中文正文)"/>
          <w:b w:val="false"/>
          <w:i w:val="false"/>
          <w:sz w:val="20"/>
        </w:rPr>
        <w:t>发言人1 答：从借出方的逻辑来看，主要是为了盘活存量资产以赚取借贷费用和增厚持有期间收益，但代价是牺牲了标的资产的流动性和在借贷期间出售的灵活性，本质上是通过放弃流动性来换取收益。债券借贷技术方案主要有四个用途：一是融资加杠杆，通过将低折算率、高回购成本的债券换成高流动性的国债，再进行质押回购，从而降低融资成本；二是券商常做的借券卖出操作，当看空某只债券时，直接卖出并在利率上行后再买回，增加市场卖压；三是套息交易，包括相对价值型套息和票息型套息，分别通过博取券种利差变化收益及利用多空组合对冲实现部分方向性影响；四是应急交割，即在特定情况下进行紧急的资金调拨。</w:t>
      </w:r>
    </w:p>
    <w:p>
      <w:r>
        <w:rPr>
          <w:rFonts w:ascii="等线(中文正文)" w:hAnsi="等线(中文正文)" w:cs="等线(中文正文)" w:eastAsia="等线(中文正文)"/>
          <w:b w:val="false"/>
          <w:i w:val="false"/>
          <w:sz w:val="20"/>
        </w:rPr>
        <w:t/>
      </w:r>
    </w:p>
    <w:p>
      <w:pPr>
        <w:pStyle w:val="ab"/>
      </w:pPr>
      <w:r>
        <w:t>发言人1 问：当前债券借贷市场的格局如何？债券借贷费率是如何决定的？</w:t>
      </w:r>
    </w:p>
    <w:p>
      <w:r>
        <w:rPr>
          <w:rFonts w:ascii="等线(中文正文)" w:hAnsi="等线(中文正文)" w:cs="等线(中文正文)" w:eastAsia="等线(中文正文)"/>
          <w:b w:val="false"/>
          <w:i w:val="false"/>
          <w:sz w:val="20"/>
        </w:rPr>
        <w:t>发言人1 答：自2006年推出以来，债券借贷业务交易量持续增长。截至2026年6月末，银行间市场债券借贷余额约为3万亿，全年结算总额为51.3万亿，日均成交额达1404亿元，同比增长28.5%。其中，券商和银行为主要参与者，2025年两者成交额合计占比约为96%，而从期限结构来看，L001和L007是最主要的短期品种，国债和政金债占据主导地位，信用债和其他券种占比极小。债券借贷费率主要由券种、期限、活跃度以及稀缺性和流动性溢价等因素决定。一般来说，国债和国开债的借贷费率较低，信用债和其他流动性较差的券种费率较高；短期限债券费率小于长期限债券，且活跃券的借贷费率通常高于一次活跃券。新券上市初期费率较高，随后会逐步递减，而老券因其存量规模较大、供需关系相对稳定，所以费率较低。</w:t>
      </w:r>
    </w:p>
    <w:p>
      <w:r>
        <w:rPr>
          <w:rFonts w:ascii="等线(中文正文)" w:hAnsi="等线(中文正文)" w:cs="等线(中文正文)" w:eastAsia="等线(中文正文)"/>
          <w:b w:val="false"/>
          <w:i w:val="false"/>
          <w:sz w:val="20"/>
        </w:rPr>
        <w:t/>
      </w:r>
    </w:p>
    <w:p>
      <w:pPr>
        <w:pStyle w:val="ab"/>
      </w:pPr>
      <w:r>
        <w:t>发言人1 问：活跃券和新券在借贷费率上的表现是怎样的？</w:t>
      </w:r>
    </w:p>
    <w:p>
      <w:r>
        <w:rPr>
          <w:rFonts w:ascii="等线(中文正文)" w:hAnsi="等线(中文正文)" w:cs="等线(中文正文)" w:eastAsia="等线(中文正文)"/>
          <w:b w:val="false"/>
          <w:i w:val="false"/>
          <w:sz w:val="20"/>
        </w:rPr>
        <w:t>发言人1 答：活跃券由于交易盘需求大，供不应求时介入方愿意支付更高费率，因此回撤的费率较高。新券在上市初期由于流动性较好，但供给约束和需求叠加会导致高费率，随着续发货量增加和配置盘沉淀，借出意愿增强，费率会回落。相比国债，新券高费率维持的时间通常更长。</w:t>
      </w:r>
    </w:p>
    <w:p>
      <w:r>
        <w:rPr>
          <w:rFonts w:ascii="等线(中文正文)" w:hAnsi="等线(中文正文)" w:cs="等线(中文正文)" w:eastAsia="等线(中文正文)"/>
          <w:b w:val="false"/>
          <w:i w:val="false"/>
          <w:sz w:val="20"/>
        </w:rPr>
        <w:t/>
      </w:r>
    </w:p>
    <w:p>
      <w:pPr>
        <w:pStyle w:val="ab"/>
      </w:pPr>
      <w:r>
        <w:t>发言人1 问：非久期策略在债市中的运作方式是怎样的？</w:t>
      </w:r>
    </w:p>
    <w:p>
      <w:r>
        <w:rPr>
          <w:rFonts w:ascii="等线(中文正文)" w:hAnsi="等线(中文正文)" w:cs="等线(中文正文)" w:eastAsia="等线(中文正文)"/>
          <w:b w:val="false"/>
          <w:i w:val="false"/>
          <w:sz w:val="20"/>
        </w:rPr>
        <w:t>发言人1 答：非久期策略不是单一的交易工具，而是一套通过组合不同衍生品和债市工具，在收益上行时获取正收益的策略。在债市下跌阶段，最优解不一定是卖掉所有债券，而是保留短端票息底仓，并利用利率衍生品建立空头头寸。券商自营是这种策略的一个活跃执行者，例如介入并卖出超长国债活跃券的同时，在TL合约上建立空头。</w:t>
      </w:r>
    </w:p>
    <w:p>
      <w:r>
        <w:rPr>
          <w:rFonts w:ascii="等线(中文正文)" w:hAnsi="等线(中文正文)" w:cs="等线(中文正文)" w:eastAsia="等线(中文正文)"/>
          <w:b w:val="false"/>
          <w:i w:val="false"/>
          <w:sz w:val="20"/>
        </w:rPr>
        <w:t/>
      </w:r>
    </w:p>
    <w:p>
      <w:pPr>
        <w:pStyle w:val="ab"/>
      </w:pPr>
      <w:r>
        <w:t>发言人1 问：非久期策略为何在熊市环境中表现较好？</w:t>
      </w:r>
    </w:p>
    <w:p>
      <w:r>
        <w:rPr>
          <w:rFonts w:ascii="等线(中文正文)" w:hAnsi="等线(中文正文)" w:cs="等线(中文正文)" w:eastAsia="等线(中文正文)"/>
          <w:b w:val="false"/>
          <w:i w:val="false"/>
          <w:sz w:val="20"/>
        </w:rPr>
        <w:t>发言人1 答：该策略依赖于趋势性熊市环境，适用条件包括收益率有趋势性上行驱动、短端缺乏强配置盘买盘承接以及新老券之间存在足够的利差或流动性错位，使得证券借贷和期货空头组合比单一工具更优。在熊市中，新券流动性溢价会快速消失导致新老券利差收窄，券商通过卖出新券并做空老券可以获得超额收益覆盖成本。</w:t>
      </w:r>
    </w:p>
    <w:p>
      <w:r>
        <w:rPr>
          <w:rFonts w:ascii="等线(中文正文)" w:hAnsi="等线(中文正文)" w:cs="等线(中文正文)" w:eastAsia="等线(中文正文)"/>
          <w:b w:val="false"/>
          <w:i w:val="false"/>
          <w:sz w:val="20"/>
        </w:rPr>
        <w:t/>
      </w:r>
    </w:p>
    <w:p>
      <w:pPr>
        <w:pStyle w:val="ab"/>
      </w:pPr>
      <w:r>
        <w:t>发言人1 问：新老券策略的核心是什么？</w:t>
      </w:r>
    </w:p>
    <w:p>
      <w:r>
        <w:rPr>
          <w:rFonts w:ascii="等线(中文正文)" w:hAnsi="等线(中文正文)" w:cs="等线(中文正文)" w:eastAsia="等线(中文正文)"/>
          <w:b w:val="false"/>
          <w:i w:val="false"/>
          <w:sz w:val="20"/>
        </w:rPr>
        <w:t>发言人1 答：新老券策略围绕流动性溢价和新老券切券进行交易，关注新活跃券与老券之间的定价差，本质上源于流动性溢价、税收差异和市场关注度等。新券初期流动性强、价格活跃，随着老券流动性衰减，两者逆差会在活跃券切换期间发生变化，从而形成新老券利差的M型走势。</w:t>
      </w:r>
    </w:p>
    <w:p>
      <w:r>
        <w:rPr>
          <w:rFonts w:ascii="等线(中文正文)" w:hAnsi="等线(中文正文)" w:cs="等线(中文正文)" w:eastAsia="等线(中文正文)"/>
          <w:b w:val="false"/>
          <w:i w:val="false"/>
          <w:sz w:val="20"/>
        </w:rPr>
        <w:t/>
      </w:r>
    </w:p>
    <w:p>
      <w:pPr>
        <w:pStyle w:val="ab"/>
      </w:pPr>
      <w:r>
        <w:t>发言人1 问：新老券利差走势如何影响交易策略？</w:t>
      </w:r>
    </w:p>
    <w:p>
      <w:r>
        <w:rPr>
          <w:rFonts w:ascii="等线(中文正文)" w:hAnsi="等线(中文正文)" w:cs="等线(中文正文)" w:eastAsia="等线(中文正文)"/>
          <w:b w:val="false"/>
          <w:i w:val="false"/>
          <w:sz w:val="20"/>
        </w:rPr>
        <w:t>发言人1 答：新老券利差走势特征可用于开展借贷策略，在震荡市中，除了方向性做空，更多用于中性相对价值交易，如品种利差、期限利差和曲线利差交易。当利差收敛或曲线出现异常时，券商可通过借贷参与其中获取收益，这类策略对于债市总方向扰动较小，但能显著影响局部券种间相对定价和曲线形态。</w:t>
      </w:r>
    </w:p>
    <w:p>
      <w:r>
        <w:rPr>
          <w:rFonts w:ascii="等线(中文正文)" w:hAnsi="等线(中文正文)" w:cs="等线(中文正文)" w:eastAsia="等线(中文正文)"/>
          <w:b w:val="false"/>
          <w:i w:val="false"/>
          <w:sz w:val="20"/>
        </w:rPr>
        <w:t/>
      </w:r>
    </w:p>
    <w:p>
      <w:pPr>
        <w:pStyle w:val="ab"/>
      </w:pPr>
      <w:r>
        <w:t>发言人1 问：从借贷数据能否推断出债市总方向？</w:t>
      </w:r>
    </w:p>
    <w:p>
      <w:r>
        <w:rPr>
          <w:rFonts w:ascii="等线(中文正文)" w:hAnsi="等线(中文正文)" w:cs="等线(中文正文)" w:eastAsia="等线(中文正文)"/>
          <w:b w:val="false"/>
          <w:i w:val="false"/>
          <w:sz w:val="20"/>
        </w:rPr>
        <w:t>发言人1 答：整体来看，单向做空和复久期是方向性策略，依赖利率趋势；而期现套利、新老券利差和曲线交易则是相对价值策略，依赖错位和收敛。因此，借贷数据虽可观察市场情绪和机构行为，但对债市总方向指引较弱，主要因为套利和套期交易构建了多空对冲组合，且融资加杠杆行为可能抵消总量上升带来的方向信号。</w:t>
      </w:r>
    </w:p>
    <w:p>
      <w:r>
        <w:rPr>
          <w:rFonts w:ascii="等线(中文正文)" w:hAnsi="等线(中文正文)" w:cs="等线(中文正文)" w:eastAsia="等线(中文正文)"/>
          <w:b w:val="false"/>
          <w:i w:val="false"/>
          <w:sz w:val="20"/>
        </w:rPr>
        <w:t/>
      </w:r>
    </w:p>
    <w:p>
      <w:pPr>
        <w:pStyle w:val="ab"/>
      </w:pPr>
      <w:r>
        <w:t>发言人1 问：如何跟踪和分析债券借贷的关键指标？</w:t>
      </w:r>
    </w:p>
    <w:p>
      <w:r>
        <w:rPr>
          <w:rFonts w:ascii="等线(中文正文)" w:hAnsi="等线(中文正文)" w:cs="等线(中文正文)" w:eastAsia="等线(中文正文)"/>
          <w:b w:val="false"/>
          <w:i w:val="false"/>
          <w:sz w:val="20"/>
        </w:rPr>
        <w:t>发言人1 答：关键跟踪指标包括：1) 主体维度，关注谁在借，特别是券商；2) 券种和期限维度，优先考虑高流动性和长久期活跃券；3) 价格维度，关注费率是否贵以反映市场需求和稀缺程度；4) 集中度维度，通过计算个券借贷集中度判断空头拥挤程度；5) 联动性指标，观察借贷收益率与期货和现券成交的关系，以确认单向做空信号更强还是中性策略或交割需求。</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