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中信建投证券 - 第三期 北极星策略周周谈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市场策略 资金面 出清 再平衡 ETF 两融资金 科技板块 美债利率 长端利率 通胀 AI产业 算力 权益资产 修复行情 风险可控 底部确认 创新药 有色金属 机械 新能源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集中于金融市场及A股市场的投资策略与市场特征，强调了投资决策的系统化与理性。中信建投证券策略分析师指出市场资金面的新变化及科技板块的投资机遇与潜在风险，同时提及板块内部的分化和市场波动。北极星团队负责人则从产品体系角度，分析了行业轮动和大类资产配置策略，强调概念板块在捕捉市场热点和筛选投资方向上的作用。讨论凸显了投资策略的多元化及对市场变化的适应性，提醒投资者在决策时需考虑风险并结合个人情况审慎判断。</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北极星策略周谈：海外风险可控，科技板块待观察</w:t>
      </w:r>
    </w:p>
    <w:p>
      <w:r>
        <w:rPr>
          <w:rFonts w:ascii="等线(中文正文)" w:hAnsi="等线(中文正文)" w:cs="等线(中文正文)" w:eastAsia="等线(中文正文)"/>
          <w:b w:val="false"/>
          <w:i w:val="false"/>
          <w:sz w:val="20"/>
        </w:rPr>
        <w:t>主持人吴新阳介绍中信建投证券北极星策略周周谈，强调不构成投资建议。邀请分析师分享市场策略，聚焦海外风险可控及科技板块待观察的主题，同时提醒投资者风险自担。</w:t>
      </w:r>
    </w:p>
    <w:p>
      <w:r>
        <w:rPr>
          <w:rFonts w:ascii="等线(中文正文)" w:hAnsi="等线(中文正文)" w:cs="等线(中文正文)" w:eastAsia="等线(中文正文)"/>
          <w:b w:val="false"/>
          <w:i w:val="false"/>
          <w:sz w:val="20"/>
        </w:rPr>
        <w:t/>
      </w:r>
    </w:p>
    <w:p>
      <w:pPr>
        <w:pStyle w:val="ab"/>
        <w:numPr>
          <w:numId w:val="2"/>
        </w:numPr>
      </w:pPr>
      <w:r>
        <w:t>01:44 A股资金面特征与市场修复节奏分析</w:t>
      </w:r>
    </w:p>
    <w:p>
      <w:r>
        <w:rPr>
          <w:rFonts w:ascii="等线(中文正文)" w:hAnsi="等线(中文正文)" w:cs="等线(中文正文)" w:eastAsia="等线(中文正文)"/>
          <w:b w:val="false"/>
          <w:i w:val="false"/>
          <w:sz w:val="20"/>
        </w:rPr>
        <w:t>对话讨论了A股市场在风险释放后进入预期修复阶段的资金面新特征，指出市场正经历出清与再平衡过程，表现为两融资金与ETF资金的此消彼长。市场呈现出震荡修复态势，下有底、上有顶的格局，受资金面交易摩擦、潜在抛压及增量资金不足影响。监管层释放积极信号，但海外及产业不确定性仍需关注，整体判断为温和修复状态。</w:t>
      </w:r>
    </w:p>
    <w:p>
      <w:r>
        <w:rPr>
          <w:rFonts w:ascii="等线(中文正文)" w:hAnsi="等线(中文正文)" w:cs="等线(中文正文)" w:eastAsia="等线(中文正文)"/>
          <w:b w:val="false"/>
          <w:i w:val="false"/>
          <w:sz w:val="20"/>
        </w:rPr>
        <w:t/>
      </w:r>
    </w:p>
    <w:p>
      <w:pPr>
        <w:pStyle w:val="ab"/>
        <w:numPr>
          <w:numId w:val="3"/>
        </w:numPr>
      </w:pPr>
      <w:r>
        <w:t>09:20 美债利率高位波动对全球风险资产的影响</w:t>
      </w:r>
    </w:p>
    <w:p>
      <w:r>
        <w:rPr>
          <w:rFonts w:ascii="等线(中文正文)" w:hAnsi="等线(中文正文)" w:cs="等线(中文正文)" w:eastAsia="等线(中文正文)"/>
          <w:b w:val="false"/>
          <w:i w:val="false"/>
          <w:sz w:val="20"/>
        </w:rPr>
        <w:t>对话讨论了近期美债利率持续高位波动，特别是长端利率创多年新高，对全球风险资产的压制作用。分析指出，本轮利率上行不仅由通胀担忧驱动，还涉及AI产业资本开支激增及科技巨头转向债务市场融资等因素，共同推高长期利率，对A股等风险资产构成核心扰动。</w:t>
      </w:r>
    </w:p>
    <w:p>
      <w:r>
        <w:rPr>
          <w:rFonts w:ascii="等线(中文正文)" w:hAnsi="等线(中文正文)" w:cs="等线(中文正文)" w:eastAsia="等线(中文正文)"/>
          <w:b w:val="false"/>
          <w:i w:val="false"/>
          <w:sz w:val="20"/>
        </w:rPr>
        <w:t/>
      </w:r>
    </w:p>
    <w:p>
      <w:pPr>
        <w:pStyle w:val="ab"/>
        <w:numPr>
          <w:numId w:val="4"/>
        </w:numPr>
      </w:pPr>
      <w:r>
        <w:t>14:00 美债利率政策与市场影响分析</w:t>
      </w:r>
    </w:p>
    <w:p>
      <w:r>
        <w:rPr>
          <w:rFonts w:ascii="等线(中文正文)" w:hAnsi="等线(中文正文)" w:cs="等线(中文正文)" w:eastAsia="等线(中文正文)"/>
          <w:b w:val="false"/>
          <w:i w:val="false"/>
          <w:sz w:val="20"/>
        </w:rPr>
        <w:t>美国财政部宣布扩大长期国债流动性支持回购规模，旨在控制融资成本上升。尽管单次操作对40万亿美债存量影响有限，但政策信号意义重大，显示对长端利率上行的不容忍态度。在AI产业驱动经济增长与主权债务敏感背景下，市场不会放任长端利率持续上升。去年美国国债利息占GDP比重已达历史高位，政策约束逻辑明确，对权益市场的压制作用预计可控，不会阻碍修复行情。</w:t>
      </w:r>
    </w:p>
    <w:p>
      <w:r>
        <w:rPr>
          <w:rFonts w:ascii="等线(中文正文)" w:hAnsi="等线(中文正文)" w:cs="等线(中文正文)" w:eastAsia="等线(中文正文)"/>
          <w:b w:val="false"/>
          <w:i w:val="false"/>
          <w:sz w:val="20"/>
        </w:rPr>
        <w:t/>
      </w:r>
    </w:p>
    <w:p>
      <w:pPr>
        <w:pStyle w:val="ab"/>
        <w:numPr>
          <w:numId w:val="5"/>
        </w:numPr>
      </w:pPr>
      <w:r>
        <w:t>17:12 科技板块布局策略与市场环境分析</w:t>
      </w:r>
    </w:p>
    <w:p>
      <w:r>
        <w:rPr>
          <w:rFonts w:ascii="等线(中文正文)" w:hAnsi="等线(中文正文)" w:cs="等线(中文正文)" w:eastAsia="等线(中文正文)"/>
          <w:b w:val="false"/>
          <w:i w:val="false"/>
          <w:sz w:val="20"/>
        </w:rPr>
        <w:t>面对内部资金面有待出清和外部利率扰动的市场环境，科技板块的配置策略应先等待交易拥挤和筹码结构进一步出清，当前成交额占比已回落至60%左右，表明出清过程仍在进行。从产业基本面看，海外科技巨头资本开支持续增加，AI收入开始兑现，订单储备充足，利润有保障。未来市场关注点将从纯硬件波动转向AI应用落地的投资回报率和现金流质量，建议关注商业化落地更顺畅的公司。</w:t>
      </w:r>
    </w:p>
    <w:p>
      <w:r>
        <w:rPr>
          <w:rFonts w:ascii="等线(中文正文)" w:hAnsi="等线(中文正文)" w:cs="等线(中文正文)" w:eastAsia="等线(中文正文)"/>
          <w:b w:val="false"/>
          <w:i w:val="false"/>
          <w:sz w:val="20"/>
        </w:rPr>
        <w:t/>
      </w:r>
    </w:p>
    <w:p>
      <w:pPr>
        <w:pStyle w:val="ab"/>
        <w:numPr>
          <w:numId w:val="6"/>
        </w:numPr>
      </w:pPr>
      <w:r>
        <w:t>20:31 创新药板块三重利好推动景气度提升</w:t>
      </w:r>
    </w:p>
    <w:p>
      <w:r>
        <w:rPr>
          <w:rFonts w:ascii="等线(中文正文)" w:hAnsi="等线(中文正文)" w:cs="等线(中文正文)" w:eastAsia="等线(中文正文)"/>
          <w:b w:val="false"/>
          <w:i w:val="false"/>
          <w:sz w:val="20"/>
        </w:rPr>
        <w:t>创新药板块受益于国际化加速、技术突破及政策支持三重利好，展现出强劲景气度。研发技术在细分领域达到全球领先水平，政策端对创新药纳入医保及商业保险的支持力度加大，CDMO等产业技术亦处于全球第一梯队，整体表现优异。</w:t>
      </w:r>
    </w:p>
    <w:p>
      <w:r>
        <w:rPr>
          <w:rFonts w:ascii="等线(中文正文)" w:hAnsi="等线(中文正文)" w:cs="等线(中文正文)" w:eastAsia="等线(中文正文)"/>
          <w:b w:val="false"/>
          <w:i w:val="false"/>
          <w:sz w:val="20"/>
        </w:rPr>
        <w:t/>
      </w:r>
    </w:p>
    <w:p>
      <w:pPr>
        <w:pStyle w:val="ab"/>
        <w:numPr>
          <w:numId w:val="7"/>
        </w:numPr>
      </w:pPr>
      <w:r>
        <w:t>22:43 创新药与有色金属产业优势分析</w:t>
      </w:r>
    </w:p>
    <w:p>
      <w:r>
        <w:rPr>
          <w:rFonts w:ascii="等线(中文正文)" w:hAnsi="等线(中文正文)" w:cs="等线(中文正文)" w:eastAsia="等线(中文正文)"/>
          <w:b w:val="false"/>
          <w:i w:val="false"/>
          <w:sz w:val="20"/>
        </w:rPr>
        <w:t>对话深入探讨了创新药产业在规模、成本、工艺和合规性方面的显著优势，以及有色金属特别是铜和铝在供需错配和新兴需求驱动下的价格上涨趋势。同时，分析了小金属如西屋、佳音在AI和半导体行业中的需求爆发，指出这些产业目前处于高景气度和确定性状态，是值得配置的优质板块。</w:t>
      </w:r>
    </w:p>
    <w:p>
      <w:r>
        <w:rPr>
          <w:rFonts w:ascii="等线(中文正文)" w:hAnsi="等线(中文正文)" w:cs="等线(中文正文)" w:eastAsia="等线(中文正文)"/>
          <w:b w:val="false"/>
          <w:i w:val="false"/>
          <w:sz w:val="20"/>
        </w:rPr>
        <w:t/>
      </w:r>
    </w:p>
    <w:p>
      <w:pPr>
        <w:pStyle w:val="ab"/>
        <w:numPr>
          <w:numId w:val="8"/>
        </w:numPr>
      </w:pPr>
      <w:r>
        <w:t>26:42 机械行业景气度提升与全球渗透率增长</w:t>
      </w:r>
    </w:p>
    <w:p>
      <w:r>
        <w:rPr>
          <w:rFonts w:ascii="等线(中文正文)" w:hAnsi="等线(中文正文)" w:cs="等线(中文正文)" w:eastAsia="等线(中文正文)"/>
          <w:b w:val="false"/>
          <w:i w:val="false"/>
          <w:sz w:val="20"/>
        </w:rPr>
        <w:t>对话讨论了机械行业，特别是工程机械，因国内设备更新换代需求及六张网建设投资而表现景气。挖掘机产量、销量及出口显著改善，国产设备技术成熟，性价比高，全球渗透率提升。机电产品、高技术产品出口景气，新兴领域如工业机器人、AI算力设备需求增加，机械行业从周期性板块向成长性板块转变，当前为配置周期板块的好时机。</w:t>
      </w:r>
    </w:p>
    <w:p>
      <w:r>
        <w:rPr>
          <w:rFonts w:ascii="等线(中文正文)" w:hAnsi="等线(中文正文)" w:cs="等线(中文正文)" w:eastAsia="等线(中文正文)"/>
          <w:b w:val="false"/>
          <w:i w:val="false"/>
          <w:sz w:val="20"/>
        </w:rPr>
        <w:t/>
      </w:r>
    </w:p>
    <w:p>
      <w:pPr>
        <w:pStyle w:val="ab"/>
        <w:numPr>
          <w:numId w:val="9"/>
        </w:numPr>
      </w:pPr>
      <w:r>
        <w:t>29:05 新能源与红利板块投资策略详解</w:t>
      </w:r>
    </w:p>
    <w:p>
      <w:r>
        <w:rPr>
          <w:rFonts w:ascii="等线(中文正文)" w:hAnsi="等线(中文正文)" w:cs="等线(中文正文)" w:eastAsia="等线(中文正文)"/>
          <w:b w:val="false"/>
          <w:i w:val="false"/>
          <w:sz w:val="20"/>
        </w:rPr>
        <w:t>对话深入探讨了新能源领域的全球竞争力，强调了新能源车、光伏、风电及锂电池出口的强劲表现。同时，分析了AI算力中心对储能设施的需求，以及全球电力绿色化趋势。红利板块因攻守兼备特性受到关注，银行、非银板块估值偏低，能源资源品如煤炭、石油盈利确定性高，煤价和油价中枢高位运行，为投资组合平衡提供了重要参考。</w:t>
      </w:r>
    </w:p>
    <w:p>
      <w:r>
        <w:rPr>
          <w:rFonts w:ascii="等线(中文正文)" w:hAnsi="等线(中文正文)" w:cs="等线(中文正文)" w:eastAsia="等线(中文正文)"/>
          <w:b w:val="false"/>
          <w:i w:val="false"/>
          <w:sz w:val="20"/>
        </w:rPr>
        <w:t/>
      </w:r>
    </w:p>
    <w:p>
      <w:pPr>
        <w:pStyle w:val="ab"/>
        <w:numPr>
          <w:numId w:val="10"/>
        </w:numPr>
      </w:pPr>
      <w:r>
        <w:t>32:38 科技板块调整观察与配置策略解析</w:t>
      </w:r>
    </w:p>
    <w:p>
      <w:r>
        <w:rPr>
          <w:rFonts w:ascii="等线(中文正文)" w:hAnsi="等线(中文正文)" w:cs="等线(中文正文)" w:eastAsia="等线(中文正文)"/>
          <w:b w:val="false"/>
          <w:i w:val="false"/>
          <w:sz w:val="20"/>
        </w:rPr>
        <w:t>讨论了普通投资者如何通过科技板块成交额占比下降及活跃资金动向等信号判断调整是否充分，提出了融资资金与ETF资金为关键观察指标，同时分析了美债利率上行对权益市场的影响可控，建议投资者等待科技板块出清后均衡配置，耐心等待市场情绪企稳。</w:t>
      </w:r>
    </w:p>
    <w:p>
      <w:r>
        <w:rPr>
          <w:rFonts w:ascii="等线(中文正文)" w:hAnsi="等线(中文正文)" w:cs="等线(中文正文)" w:eastAsia="等线(中文正文)"/>
          <w:b w:val="false"/>
          <w:i w:val="false"/>
          <w:sz w:val="20"/>
        </w:rPr>
        <w:t/>
      </w:r>
    </w:p>
    <w:p>
      <w:pPr>
        <w:pStyle w:val="ab"/>
        <w:numPr>
          <w:numId w:val="11"/>
        </w:numPr>
      </w:pPr>
      <w:r>
        <w:t>35:14 行业轮动策略复盘与概念板块功能解析</w:t>
      </w:r>
    </w:p>
    <w:p>
      <w:r>
        <w:rPr>
          <w:rFonts w:ascii="等线(中文正文)" w:hAnsi="等线(中文正文)" w:cs="等线(中文正文)" w:eastAsia="等线(中文正文)"/>
          <w:b w:val="false"/>
          <w:i w:val="false"/>
          <w:sz w:val="20"/>
        </w:rPr>
        <w:t>对话围绕行业轮动策略的表现复盘展开，分析了上周市场波动对策略的影响，指出策略在快速风格切换中表现承压。随后，讨论了模型调整，包括因子权重变化及本周观察清单更新，强调了有色金属等新进入方向的资金与趋势同步走强。最后，介绍了北极星市场篇概念板块功能，旨在系统观察市场热点，但提醒投资者内容仅供学习参考。</w:t>
      </w:r>
    </w:p>
    <w:p>
      <w:r>
        <w:rPr>
          <w:rFonts w:ascii="等线(中文正文)" w:hAnsi="等线(中文正文)" w:cs="等线(中文正文)" w:eastAsia="等线(中文正文)"/>
          <w:b w:val="false"/>
          <w:i w:val="false"/>
          <w:sz w:val="20"/>
        </w:rPr>
        <w:t/>
      </w:r>
    </w:p>
    <w:p>
      <w:pPr>
        <w:pStyle w:val="ab"/>
        <w:numPr>
          <w:numId w:val="12"/>
        </w:numPr>
      </w:pPr>
      <w:r>
        <w:t>40:13 大类资产配置与概念板块分析</w:t>
      </w:r>
    </w:p>
    <w:p>
      <w:r>
        <w:rPr>
          <w:rFonts w:ascii="等线(中文正文)" w:hAnsi="等线(中文正文)" w:cs="等线(中文正文)" w:eastAsia="等线(中文正文)"/>
          <w:b w:val="false"/>
          <w:i w:val="false"/>
          <w:sz w:val="20"/>
        </w:rPr>
        <w:t>对话回顾了上周全球市场波动下大类资产配置策略的表现，指出黄金和国债在组合中起到缓冲作用，提升了组合稳定性。本周黄金权重上升，成为组合中占比最高的资产。随后讨论了北极星账户诊断产品的概念板块功能，旨在解决盘前信息分散问题，通过分析主力资金信号筛选出具有持续跟踪价值的概念，强调了概念与成分股相关性的重要性。</w:t>
      </w:r>
    </w:p>
    <w:p>
      <w:r>
        <w:rPr>
          <w:rFonts w:ascii="等线(中文正文)" w:hAnsi="等线(中文正文)" w:cs="等线(中文正文)" w:eastAsia="等线(中文正文)"/>
          <w:b w:val="false"/>
          <w:i w:val="false"/>
          <w:sz w:val="20"/>
        </w:rPr>
        <w:t/>
      </w:r>
    </w:p>
    <w:p>
      <w:pPr>
        <w:pStyle w:val="ab"/>
        <w:numPr>
          <w:numId w:val="13"/>
        </w:numPr>
      </w:pPr>
      <w:r>
        <w:t>46:28 行业轮动与概念板块：盘前观察的双轨策略</w:t>
      </w:r>
    </w:p>
    <w:p>
      <w:r>
        <w:rPr>
          <w:rFonts w:ascii="等线(中文正文)" w:hAnsi="等线(中文正文)" w:cs="等线(中文正文)" w:eastAsia="等线(中文正文)"/>
          <w:b w:val="false"/>
          <w:i w:val="false"/>
          <w:sz w:val="20"/>
        </w:rPr>
        <w:t>行业轮动与概念板块作为盘前观察工具，分别聚焦于相对稳定的赛道变化和高频主题线索，两者在观察层级、更新频率及覆盖范围上存在差异，共同为投资者提供市场方向与新变化的洞察，建议投资者结合自身分析做出决策。</w:t>
      </w:r>
    </w:p>
    <w:p>
      <w:r>
        <w:rPr>
          <w:rFonts w:ascii="等线(中文正文)" w:hAnsi="等线(中文正文)" w:cs="等线(中文正文)" w:eastAsia="等线(中文正文)"/>
          <w:b w:val="false"/>
          <w:i w:val="false"/>
          <w:sz w:val="20"/>
        </w:rPr>
        <w:t/>
      </w:r>
    </w:p>
    <w:p>
      <w:pPr>
        <w:pStyle w:val="ab"/>
        <w:numPr>
          <w:numId w:val="14"/>
        </w:numPr>
      </w:pPr>
      <w:r>
        <w:t>48:59 北极星概念板块策略：盘前观察与盘中验证</w:t>
      </w:r>
    </w:p>
    <w:p>
      <w:r>
        <w:rPr>
          <w:rFonts w:ascii="等线(中文正文)" w:hAnsi="等线(中文正文)" w:cs="等线(中文正文)" w:eastAsia="等线(中文正文)"/>
          <w:b w:val="false"/>
          <w:i w:val="false"/>
          <w:sz w:val="20"/>
        </w:rPr>
        <w:t>对话详细介绍了北极星概念板块策略的使用方法，包括盘前观察清单变化，盘中验证板块联动，强调结合市场信号形成投资判断。策略不构成投资建议，投资者应独立决策，注意风险。</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主持的《北极星策略周周谈》是中信建投证券推出的深度投资策略分享节目。每期节目，他邀请首席或资深分析师，聚焦前沿市场策略，紧密联系北极星产品体系，通过量化分析、行业轮动、大类资产配置等多维度，为投资者提供实时的策略复盘与专业指导。同时，节目强调风险提示，明确直播内容仅作参考，投资者需自主决策。他深入探讨了A股资金面特征、美债利率上行对市场的影响、科技板块的投资策略，以及北极星策略中的概念板块功能。通过具体分析，引导投资者建立系统的投资框架，并结合市场表现，为未来投资方向和策略提出建议。</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问：当前A股的资金面有没有呈现出一些新的特征，以及哪些核心因素在影响着本轮修复的节奏与旋律？</w:t>
      </w:r>
    </w:p>
    <w:p>
      <w:r>
        <w:rPr>
          <w:rFonts w:ascii="等线(中文正文)" w:hAnsi="等线(中文正文)" w:cs="等线(中文正文)" w:eastAsia="等线(中文正文)"/>
          <w:b w:val="false"/>
          <w:i w:val="false"/>
          <w:sz w:val="20"/>
        </w:rPr>
        <w:t>发言人1 答：当前A股的资金面呈现出了出清和再平衡的状态，两融资金和股票型ETF资金在方向上出现此消彼长的现象。前期7月份两融资金有约4000亿流出，而同期股票型ETF资金流入超千亿元。进入8月后，两融资金和ETF资金持续在流入流出间波动，但波动幅度有所收敛，这表明尽管交易摩擦仍然存在，但市场资金面的压力可能对当前反弹行情带来一定压力。</w:t>
      </w:r>
    </w:p>
    <w:p>
      <w:r>
        <w:rPr>
          <w:rFonts w:ascii="等线(中文正文)" w:hAnsi="等线(中文正文)" w:cs="等线(中文正文)" w:eastAsia="等线(中文正文)"/>
          <w:b w:val="false"/>
          <w:i w:val="false"/>
          <w:sz w:val="20"/>
        </w:rPr>
        <w:t/>
      </w:r>
    </w:p>
    <w:p>
      <w:pPr>
        <w:pStyle w:val="ab"/>
      </w:pPr>
      <w:r>
        <w:t>发言人1 问：近期市场中抄底资金的影响以及潜在的抛压来源是什么？对于当前行情的整体判断是怎样的？</w:t>
      </w:r>
    </w:p>
    <w:p>
      <w:r>
        <w:rPr>
          <w:rFonts w:ascii="等线(中文正文)" w:hAnsi="等线(中文正文)" w:cs="等线(中文正文)" w:eastAsia="等线(中文正文)"/>
          <w:b w:val="false"/>
          <w:i w:val="false"/>
          <w:sz w:val="20"/>
        </w:rPr>
        <w:t>发言人1 答：近期创业板和科创板指数以及TMT相关行业主题型ETF有约3000亿左右的净流入。随着市场出现一定程度修复后，这些抄底资金可能会有卖出压力，成为潜在的抛压来源。因此，虽然反弹行情有望持续，但可能会呈现下有底、上有顶的格局。当前行情整体上仍以反弹为主，但由于经过了较充分的调整，从交易拥挤度、融资杠杆资金仓位、市场估值位置和市场情绪状态等多个指标来看，市场已有所改善。特别是股权风险溢价这一中长期择时指标显示，目前市场具备一定的性价比，有利于反弹行情的延续。</w:t>
      </w:r>
    </w:p>
    <w:p>
      <w:r>
        <w:rPr>
          <w:rFonts w:ascii="等线(中文正文)" w:hAnsi="等线(中文正文)" w:cs="等线(中文正文)" w:eastAsia="等线(中文正文)"/>
          <w:b w:val="false"/>
          <w:i w:val="false"/>
          <w:sz w:val="20"/>
        </w:rPr>
        <w:t/>
      </w:r>
    </w:p>
    <w:p>
      <w:pPr>
        <w:pStyle w:val="ab"/>
      </w:pPr>
      <w:r>
        <w:t>发言人1 问：近期监管层面释放了哪些信号？为什么底部确认后市场涨幅不快？</w:t>
      </w:r>
    </w:p>
    <w:p>
      <w:r>
        <w:rPr>
          <w:rFonts w:ascii="等线(中文正文)" w:hAnsi="等线(中文正文)" w:cs="等线(中文正文)" w:eastAsia="等线(中文正文)"/>
          <w:b w:val="false"/>
          <w:i w:val="false"/>
          <w:sz w:val="20"/>
        </w:rPr>
        <w:t>发言人1 答：近期监管层面持续密集地释放了与市场的沟通、稳市资金以及对产业发展积极表态的信号，认为当前市场往下的风险相对可控。但增量资金尚未形成趋势性合力，场外资金入场意愿谨慎，导致板块轮动快而持续性弱，市场呈现存量博弈特征。指数上行空间可能需要更强催化因素才能实现，整体判断是下有底、上有顶的温和修复和反弹状态。这是因为内部资金结构仍在出清与再平衡过程中，市场以震荡式修复为主而非单边快速上行。</w:t>
      </w:r>
    </w:p>
    <w:p>
      <w:r>
        <w:rPr>
          <w:rFonts w:ascii="等线(中文正文)" w:hAnsi="等线(中文正文)" w:cs="等线(中文正文)" w:eastAsia="等线(中文正文)"/>
          <w:b w:val="false"/>
          <w:i w:val="false"/>
          <w:sz w:val="20"/>
        </w:rPr>
        <w:t/>
      </w:r>
    </w:p>
    <w:p>
      <w:pPr>
        <w:pStyle w:val="ab"/>
      </w:pPr>
      <w:r>
        <w:t>发言人1 问：这一轮美债利率走高与之前单纯由通胀驱动的上行有何不同？美债利率走高对A股风险资产的影响如何？</w:t>
      </w:r>
    </w:p>
    <w:p>
      <w:r>
        <w:rPr>
          <w:rFonts w:ascii="等线(中文正文)" w:hAnsi="等线(中文正文)" w:cs="等线(中文正文)" w:eastAsia="等线(中文正文)"/>
          <w:b w:val="false"/>
          <w:i w:val="false"/>
          <w:sz w:val="20"/>
        </w:rPr>
        <w:t>发言人1 答：此轮美债利率上升不仅受通胀因素影响，还包含AI产业相关因素。海外中东局势带来国际油价回升，加剧通胀担忧；同时，科技巨头在AI领域的投入加大，带动算力需求上升，从而推高了长期利率。美债利率作为全球权益资产估值定价锚，近期对市场产生担忧和扰动。这一轮美债利率上行是由通胀和AI产业共同作用的结果，其中科技巨头在算力方面的资本开支大幅增加，导致债券市场需求增大，进而推升了长期利率。</w:t>
      </w:r>
    </w:p>
    <w:p>
      <w:r>
        <w:rPr>
          <w:rFonts w:ascii="等线(中文正文)" w:hAnsi="等线(中文正文)" w:cs="等线(中文正文)" w:eastAsia="等线(中文正文)"/>
          <w:b w:val="false"/>
          <w:i w:val="false"/>
          <w:sz w:val="20"/>
        </w:rPr>
        <w:t/>
      </w:r>
    </w:p>
    <w:p>
      <w:pPr>
        <w:pStyle w:val="ab"/>
      </w:pPr>
      <w:r>
        <w:t>发言人1 问：美国财政部针对长期国债流动性支持回购操作的规模有何变化？市场如何看待美国财政部的政策举措？</w:t>
      </w:r>
    </w:p>
    <w:p>
      <w:r>
        <w:rPr>
          <w:rFonts w:ascii="等线(中文正文)" w:hAnsi="等线(中文正文)" w:cs="等线(中文正文)" w:eastAsia="等线(中文正文)"/>
          <w:b w:val="false"/>
          <w:i w:val="false"/>
          <w:sz w:val="20"/>
        </w:rPr>
        <w:t>发言人1 答：美国财政部宣布将长期国债流动性支持回购操作规模翻倍，从20亿美元提升到40亿美元，并将在九月上旬开始实施。这一系列政策信号表明美国财政部将积极应对承贷利率上行问题，防止融资成本继续上升。市场认为美国财政部采取的一系列措施传达出明确信号，表明其不会坐视不管长期利率的上升。尽管单次回购操作对庞大存量的美债实质效果有限，但这些政策旨在控制利率上升趋势，减轻财政压力。</w:t>
      </w:r>
    </w:p>
    <w:p>
      <w:r>
        <w:rPr>
          <w:rFonts w:ascii="等线(中文正文)" w:hAnsi="等线(中文正文)" w:cs="等线(中文正文)" w:eastAsia="等线(中文正文)"/>
          <w:b w:val="false"/>
          <w:i w:val="false"/>
          <w:sz w:val="20"/>
        </w:rPr>
        <w:t/>
      </w:r>
    </w:p>
    <w:p>
      <w:pPr>
        <w:pStyle w:val="ab"/>
      </w:pPr>
      <w:r>
        <w:t>发言人1 问：历史上看，利率水平对于风险资产和权益市场的影响如何？</w:t>
      </w:r>
    </w:p>
    <w:p>
      <w:r>
        <w:rPr>
          <w:rFonts w:ascii="等线(中文正文)" w:hAnsi="等线(中文正文)" w:cs="等线(中文正文)" w:eastAsia="等线(中文正文)"/>
          <w:b w:val="false"/>
          <w:i w:val="false"/>
          <w:sz w:val="20"/>
        </w:rPr>
        <w:t>发言人1 答：从历史数据来看，当前的利率水平已接近最高点，整体信号意义较为明确。这意味着决策层不会放任产能利率持续上升。尽管目前利率仍处于相对高位，但我们认为未来对权益市场的影响和压制作用将相对可控。</w:t>
      </w:r>
    </w:p>
    <w:p>
      <w:r>
        <w:rPr>
          <w:rFonts w:ascii="等线(中文正文)" w:hAnsi="等线(中文正文)" w:cs="等线(中文正文)" w:eastAsia="等线(中文正文)"/>
          <w:b w:val="false"/>
          <w:i w:val="false"/>
          <w:sz w:val="20"/>
        </w:rPr>
        <w:t/>
      </w:r>
    </w:p>
    <w:p>
      <w:pPr>
        <w:pStyle w:val="ab"/>
      </w:pPr>
      <w:r>
        <w:t>发言人1 问：在当前内部资金面有待出清、外部利率扰动仍在的市场环境下，下一个阶段的投资配置思路应该如何调整，特别是在科技板块上？</w:t>
      </w:r>
    </w:p>
    <w:p>
      <w:r>
        <w:rPr>
          <w:rFonts w:ascii="等线(中文正文)" w:hAnsi="等线(中文正文)" w:cs="等线(中文正文)" w:eastAsia="等线(中文正文)"/>
          <w:b w:val="false"/>
          <w:i w:val="false"/>
          <w:sz w:val="20"/>
        </w:rPr>
        <w:t>发言人1 答：对于科技板块，首先建议继续等待交易拥挤度下降、筹码结构得到一定出清后再进行布局，这是一个更为安全的时机。成交额占比指标适用于当前存量博弈市场的状态，上一周该指标已回落至接近60%的水平，虽低于近一两年的高位，但出清过程尚未完全结束，需要进一步努力。</w:t>
      </w:r>
    </w:p>
    <w:p>
      <w:r>
        <w:rPr>
          <w:rFonts w:ascii="等线(中文正文)" w:hAnsi="等线(中文正文)" w:cs="等线(中文正文)" w:eastAsia="等线(中文正文)"/>
          <w:b w:val="false"/>
          <w:i w:val="false"/>
          <w:sz w:val="20"/>
        </w:rPr>
        <w:t/>
      </w:r>
    </w:p>
    <w:p>
      <w:pPr>
        <w:pStyle w:val="ab"/>
      </w:pPr>
      <w:r>
        <w:t>发言人1 问：近期科技板块的基本面情况如何？</w:t>
      </w:r>
    </w:p>
    <w:p>
      <w:r>
        <w:rPr>
          <w:rFonts w:ascii="等线(中文正文)" w:hAnsi="等线(中文正文)" w:cs="等线(中文正文)" w:eastAsia="等线(中文正文)"/>
          <w:b w:val="false"/>
          <w:i w:val="false"/>
          <w:sz w:val="20"/>
        </w:rPr>
        <w:t>发言人1 答：近期科技板块在景气度和业绩方面持续得到验证，如海外科技巨头发布的中报显示资本开支仍在上升；同时，微软、亚马逊等公司的AI收入开始兑现，商业化落地逐渐跑通，并且手握大量订单储备，利润兑现有保障。</w:t>
      </w:r>
    </w:p>
    <w:p>
      <w:r>
        <w:rPr>
          <w:rFonts w:ascii="等线(中文正文)" w:hAnsi="等线(中文正文)" w:cs="等线(中文正文)" w:eastAsia="等线(中文正文)"/>
          <w:b w:val="false"/>
          <w:i w:val="false"/>
          <w:sz w:val="20"/>
        </w:rPr>
        <w:t/>
      </w:r>
    </w:p>
    <w:p>
      <w:pPr>
        <w:pStyle w:val="ab"/>
      </w:pPr>
      <w:r>
        <w:t>发言人1 问：在科技板块之外，还有哪些板块受到看好？</w:t>
      </w:r>
    </w:p>
    <w:p>
      <w:r>
        <w:rPr>
          <w:rFonts w:ascii="等线(中文正文)" w:hAnsi="等线(中文正文)" w:cs="等线(中文正文)" w:eastAsia="等线(中文正文)"/>
          <w:b w:val="false"/>
          <w:i w:val="false"/>
          <w:sz w:val="20"/>
        </w:rPr>
        <w:t>发言人1 答：除了科技板块，创新药和有色金属是其他两个重点看好的板块。创新药方面，由于国际化加速、技术突破和政策支持，出海交易规模显著提升，且研发技术在全球领先，政策大力度支持创新药发展，整个产业链景气度和确定性均非常好。有色板块中，铜是供需逻辑清晰的品种，供给端受限且全球铜矿长期下行，需求端AI数据中心和新能源车等新兴产业对其需求增长显著，供需错配可能导致铜成为战略性资源，铜价和相关企业估值中枢有望系统性抬升。</w:t>
      </w:r>
    </w:p>
    <w:p>
      <w:r>
        <w:rPr>
          <w:rFonts w:ascii="等线(中文正文)" w:hAnsi="等线(中文正文)" w:cs="等线(中文正文)" w:eastAsia="等线(中文正文)"/>
          <w:b w:val="false"/>
          <w:i w:val="false"/>
          <w:sz w:val="20"/>
        </w:rPr>
        <w:t/>
      </w:r>
    </w:p>
    <w:p>
      <w:pPr>
        <w:pStyle w:val="ab"/>
      </w:pPr>
      <w:r>
        <w:t>发言人1 问：旅铝产能是否已经逼近上限，以及其对价格和利润中枢的影响如何？</w:t>
      </w:r>
    </w:p>
    <w:p>
      <w:r>
        <w:rPr>
          <w:rFonts w:ascii="等线(中文正文)" w:hAnsi="等线(中文正文)" w:cs="等线(中文正文)" w:eastAsia="等线(中文正文)"/>
          <w:b w:val="false"/>
          <w:i w:val="false"/>
          <w:sz w:val="20"/>
        </w:rPr>
        <w:t>发言人1 答：旅铝产能目前确实已经逼近十年前供给侧改革时划定的上限，这个上限是合规且高效的产能水平。由于铜主要通过电解法生产，且AI数据中心对电力需求巨大，整个旅铝行业的供需情况持续趋紧，这可能导致价格和利润中枢的抬升。</w:t>
      </w:r>
    </w:p>
    <w:p>
      <w:r>
        <w:rPr>
          <w:rFonts w:ascii="等线(中文正文)" w:hAnsi="等线(中文正文)" w:cs="等线(中文正文)" w:eastAsia="等线(中文正文)"/>
          <w:b w:val="false"/>
          <w:i w:val="false"/>
          <w:sz w:val="20"/>
        </w:rPr>
        <w:t/>
      </w:r>
    </w:p>
    <w:p>
      <w:pPr>
        <w:pStyle w:val="ab"/>
      </w:pPr>
      <w:r>
        <w:t>发言人1 问：小金属市场的情况如何？</w:t>
      </w:r>
    </w:p>
    <w:p>
      <w:r>
        <w:rPr>
          <w:rFonts w:ascii="等线(中文正文)" w:hAnsi="等线(中文正文)" w:cs="等线(中文正文)" w:eastAsia="等线(中文正文)"/>
          <w:b w:val="false"/>
          <w:i w:val="false"/>
          <w:sz w:val="20"/>
        </w:rPr>
        <w:t>发言人1 答：小金属市场由于生产工艺高度依赖复产体系，工艺弹性较弱。同时，AI趋势下对某些小金属（如西屋、佳音等）的需求呈现集中快速爆发的特点，导致今年许多小金属价格迅猛上涨。因此，整体来看，有色金属板块正处在供需错配和新兴需求共振的状态，具有较好的配置价值。</w:t>
      </w:r>
    </w:p>
    <w:p>
      <w:r>
        <w:rPr>
          <w:rFonts w:ascii="等线(中文正文)" w:hAnsi="等线(中文正文)" w:cs="等线(中文正文)" w:eastAsia="等线(中文正文)"/>
          <w:b w:val="false"/>
          <w:i w:val="false"/>
          <w:sz w:val="20"/>
        </w:rPr>
        <w:t/>
      </w:r>
    </w:p>
    <w:p>
      <w:pPr>
        <w:pStyle w:val="ab"/>
      </w:pPr>
      <w:r>
        <w:t>发言人1 问：工程机械行业的表现如何？</w:t>
      </w:r>
    </w:p>
    <w:p>
      <w:r>
        <w:rPr>
          <w:rFonts w:ascii="等线(中文正文)" w:hAnsi="等线(中文正文)" w:cs="等线(中文正文)" w:eastAsia="等线(中文正文)"/>
          <w:b w:val="false"/>
          <w:i w:val="false"/>
          <w:sz w:val="20"/>
        </w:rPr>
        <w:t>发言人1 答：今年工程机械行业表现较为景气，受到国内设备更新换代需求及国家六张网建设（包括水网、新型电网、算力网等）的推动，基建投资规模将达到二十多万亿，进一步拉动工程机械需求。其中，挖掘机产量、销量和出口金额均实现显著改善，中国制造在全球的性价比优势使得出口表现比整体工业生产更为景气。</w:t>
      </w:r>
    </w:p>
    <w:p>
      <w:r>
        <w:rPr>
          <w:rFonts w:ascii="等线(中文正文)" w:hAnsi="等线(中文正文)" w:cs="等线(中文正文)" w:eastAsia="等线(中文正文)"/>
          <w:b w:val="false"/>
          <w:i w:val="false"/>
          <w:sz w:val="20"/>
        </w:rPr>
        <w:t/>
      </w:r>
    </w:p>
    <w:p>
      <w:pPr>
        <w:pStyle w:val="ab"/>
      </w:pPr>
      <w:r>
        <w:t>发言人1 问：新能源领域的状况怎样？</w:t>
      </w:r>
    </w:p>
    <w:p>
      <w:r>
        <w:rPr>
          <w:rFonts w:ascii="等线(中文正文)" w:hAnsi="等线(中文正文)" w:cs="等线(中文正文)" w:eastAsia="等线(中文正文)"/>
          <w:b w:val="false"/>
          <w:i w:val="false"/>
          <w:sz w:val="20"/>
        </w:rPr>
        <w:t>发言人1 答：在新能源领域，中国已在多数细分方向做到了全球第一，全球竞争力持续强化。新能源车、光伏和风电等出口情况强劲，同时全球建设AI算力中心的过程中对储能设施配备的需求增加，也促进了锂电池出口的良好态势。</w:t>
      </w:r>
    </w:p>
    <w:p>
      <w:r>
        <w:rPr>
          <w:rFonts w:ascii="等线(中文正文)" w:hAnsi="等线(中文正文)" w:cs="等线(中文正文)" w:eastAsia="等线(中文正文)"/>
          <w:b w:val="false"/>
          <w:i w:val="false"/>
          <w:sz w:val="20"/>
        </w:rPr>
        <w:t/>
      </w:r>
    </w:p>
    <w:p>
      <w:pPr>
        <w:pStyle w:val="ab"/>
      </w:pPr>
      <w:r>
        <w:t>发言人1 问：红利板块为何值得关注？</w:t>
      </w:r>
    </w:p>
    <w:p>
      <w:r>
        <w:rPr>
          <w:rFonts w:ascii="等线(中文正文)" w:hAnsi="等线(中文正文)" w:cs="等线(中文正文)" w:eastAsia="等线(中文正文)"/>
          <w:b w:val="false"/>
          <w:i w:val="false"/>
          <w:sz w:val="20"/>
        </w:rPr>
        <w:t>发言人1 答：红利板块当前处于组合平衡考虑，并且内部攻守兼备。防御端如银行和非银板块估值偏低，具有配置价值；进攻端如煤炭、石油等能源资源品相关板块，盈利确定性和估值修复空间较好，尤其是煤炭供需受限、价格中枢较高，石油方面油价有望维持在较高水平，因此整个红利板块配置价值不容忽视。</w:t>
      </w:r>
    </w:p>
    <w:p>
      <w:r>
        <w:rPr>
          <w:rFonts w:ascii="等线(中文正文)" w:hAnsi="等线(中文正文)" w:cs="等线(中文正文)" w:eastAsia="等线(中文正文)"/>
          <w:b w:val="false"/>
          <w:i w:val="false"/>
          <w:sz w:val="20"/>
        </w:rPr>
        <w:t/>
      </w:r>
    </w:p>
    <w:p>
      <w:pPr>
        <w:pStyle w:val="ab"/>
      </w:pPr>
      <w:r>
        <w:t>发言人1 问：在配置上要等待科技板块的筹码出清，普通投资者可以重点观察哪些信号来判断科技板块的调整是否进入相对充分阶段？</w:t>
      </w:r>
    </w:p>
    <w:p>
      <w:r>
        <w:rPr>
          <w:rFonts w:ascii="等线(中文正文)" w:hAnsi="等线(中文正文)" w:cs="等线(中文正文)" w:eastAsia="等线(中文正文)"/>
          <w:b w:val="false"/>
          <w:i w:val="false"/>
          <w:sz w:val="20"/>
        </w:rPr>
        <w:t>发言人1 答：普通投资者可以通过观察科技板块的交易量、换手率以及股价走势等多方面信号来判断调整是否充分。例如，当交易量显著萎缩，换手率降低，并且股价走势趋于平稳，这些都可能是科技板块调整接近尾声的迹象。</w:t>
      </w:r>
    </w:p>
    <w:p>
      <w:r>
        <w:rPr>
          <w:rFonts w:ascii="等线(中文正文)" w:hAnsi="等线(中文正文)" w:cs="等线(中文正文)" w:eastAsia="等线(中文正文)"/>
          <w:b w:val="false"/>
          <w:i w:val="false"/>
          <w:sz w:val="20"/>
        </w:rPr>
        <w:t/>
      </w:r>
    </w:p>
    <w:p>
      <w:pPr>
        <w:pStyle w:val="ab"/>
      </w:pPr>
      <w:r>
        <w:t>发言人1 问：在当前存量博弈的市场中，科技板块成交额占比这一指标是否好用？跟踪市场上活跃资金动向为何重要？</w:t>
      </w:r>
    </w:p>
    <w:p>
      <w:r>
        <w:rPr>
          <w:rFonts w:ascii="等线(中文正文)" w:hAnsi="等线(中文正文)" w:cs="等线(中文正文)" w:eastAsia="等线(中文正文)"/>
          <w:b w:val="false"/>
          <w:i w:val="false"/>
          <w:sz w:val="20"/>
        </w:rPr>
        <w:t>发言人1 答：是的，科技板块成交额占比是一个在今年长期跟踪且在当前市场环境下较为有效的指标。当科技板块或相关行业的成交额占比进一步下降时，这个状态对市场分析具有重要参考价值。跟踪活跃资金动向有助于判断市场中是否存在强烈入场意愿的资金，这对于理解市场趋势和潜在投资机会具有重要意义。</w:t>
      </w:r>
    </w:p>
    <w:p>
      <w:r>
        <w:rPr>
          <w:rFonts w:ascii="等线(中文正文)" w:hAnsi="等线(中文正文)" w:cs="等线(中文正文)" w:eastAsia="等线(中文正文)"/>
          <w:b w:val="false"/>
          <w:i w:val="false"/>
          <w:sz w:val="20"/>
        </w:rPr>
        <w:t/>
      </w:r>
    </w:p>
    <w:p>
      <w:pPr>
        <w:pStyle w:val="ab"/>
      </w:pPr>
      <w:r>
        <w:t>发言人1 问：李老师从哪些维度更新了修复行情的观点？</w:t>
      </w:r>
    </w:p>
    <w:p>
      <w:r>
        <w:rPr>
          <w:rFonts w:ascii="等线(中文正文)" w:hAnsi="等线(中文正文)" w:cs="等线(中文正文)" w:eastAsia="等线(中文正文)"/>
          <w:b w:val="false"/>
          <w:i w:val="false"/>
          <w:sz w:val="20"/>
        </w:rPr>
        <w:t>发言人1 答：李老师从三个方面更新了修复行情的观点：拆解了A股资金面的核心特征，解释了市场震荡修复上行斜率不高的原因；分析了本轮美债利率上行的驱动逻辑，并明确其对权益市场的压制是可控的；给出了兼顾景气与平衡，等待科技板块出清的配置主线及细分行业方向。</w:t>
      </w:r>
    </w:p>
    <w:p>
      <w:r>
        <w:rPr>
          <w:rFonts w:ascii="等线(中文正文)" w:hAnsi="等线(中文正文)" w:cs="等线(中文正文)" w:eastAsia="等线(中文正文)"/>
          <w:b w:val="false"/>
          <w:i w:val="false"/>
          <w:sz w:val="20"/>
        </w:rPr>
        <w:t/>
      </w:r>
    </w:p>
    <w:p>
      <w:pPr>
        <w:pStyle w:val="ab"/>
      </w:pPr>
      <w:r>
        <w:t>发言人1 问：上周行业与ETF轮动策略的表现如何？</w:t>
      </w:r>
    </w:p>
    <w:p>
      <w:r>
        <w:rPr>
          <w:rFonts w:ascii="等线(中文正文)" w:hAnsi="等线(中文正文)" w:cs="等线(中文正文)" w:eastAsia="等线(中文正文)"/>
          <w:b w:val="false"/>
          <w:i w:val="false"/>
          <w:sz w:val="20"/>
        </w:rPr>
        <w:t>发言人1 答：上周，行业与ETF轮动策略组合出现了回调，落后于沪深300指数约两个点。主要原因有两个：一是整体行业结构上，部分行业如国防军工、机械设备、电力设备等成长和制造属性较强，而科技成长方向集中调整导致组合表现承压；二是风格切换速度很快，且策略追求较长周期内识别占优行业，未及时跟随一周内的快速切换调整持仓。</w:t>
      </w:r>
    </w:p>
    <w:p>
      <w:r>
        <w:rPr>
          <w:rFonts w:ascii="等线(中文正文)" w:hAnsi="等线(中文正文)" w:cs="等线(中文正文)" w:eastAsia="等线(中文正文)"/>
          <w:b w:val="false"/>
          <w:i w:val="false"/>
          <w:sz w:val="20"/>
        </w:rPr>
        <w:t/>
      </w:r>
    </w:p>
    <w:p>
      <w:pPr>
        <w:pStyle w:val="ab"/>
      </w:pPr>
      <w:r>
        <w:t>发言人1 问：模型观察重点是否发生变化？本周行业观察清单有哪些变化？</w:t>
      </w:r>
    </w:p>
    <w:p>
      <w:r>
        <w:rPr>
          <w:rFonts w:ascii="等线(中文正文)" w:hAnsi="等线(中文正文)" w:cs="等线(中文正文)" w:eastAsia="等线(中文正文)"/>
          <w:b w:val="false"/>
          <w:i w:val="false"/>
          <w:sz w:val="20"/>
        </w:rPr>
        <w:t>发言人1 答：模型观察重点有明显变化，拥挤度成为最重要的观察信号，并且权重有所提升，反映了交易热度和资金集中度的关注度提高。动量权重下降，说明模型降低了对前期趋势延续的依赖，而反转权重维持较高水平，将继续关注前期调整后出现修复信号的方向。本周观察清单中新进入的是有色金属，其资金和修复信号同步走强，成为最突出的边际变化。其他四个方向如机械设备、电力设备、国防军工、环保的信号则呈现不同的特点，例如机械设备的资金和修复信号较为突出，环保因子的三项信号均出现小幅回落。</w:t>
      </w:r>
    </w:p>
    <w:p>
      <w:r>
        <w:rPr>
          <w:rFonts w:ascii="等线(中文正文)" w:hAnsi="等线(中文正文)" w:cs="等线(中文正文)" w:eastAsia="等线(中文正文)"/>
          <w:b w:val="false"/>
          <w:i w:val="false"/>
          <w:sz w:val="20"/>
        </w:rPr>
        <w:t/>
      </w:r>
    </w:p>
    <w:p>
      <w:pPr>
        <w:pStyle w:val="ab"/>
      </w:pPr>
      <w:r>
        <w:t>发言人1 问：上周在海外市场受到利率上行、科技资产调整等因素影响下，我们组合的表现如何？黄金积极性组合中黄金的权重变化情况如何？</w:t>
      </w:r>
    </w:p>
    <w:p>
      <w:r>
        <w:rPr>
          <w:rFonts w:ascii="等线(中文正文)" w:hAnsi="等线(中文正文)" w:cs="等线(中文正文)" w:eastAsia="等线(中文正文)"/>
          <w:b w:val="false"/>
          <w:i w:val="false"/>
          <w:sz w:val="20"/>
        </w:rPr>
        <w:t>发言人1 答：上周我们的组合回调大约在1%左右，整体表现平稳。其中权益、黄金和国债在组合结构中起到了缓冲作用，体现了大类资产配置的价值。黄金积极性组合里，黄金的权重提高到了42%，成为占比最高的资产类别。除了国债外，还配置了恒生指数和东南亚科技。</w:t>
      </w:r>
    </w:p>
    <w:p>
      <w:r>
        <w:rPr>
          <w:rFonts w:ascii="等线(中文正文)" w:hAnsi="等线(中文正文)" w:cs="等线(中文正文)" w:eastAsia="等线(中文正文)"/>
          <w:b w:val="false"/>
          <w:i w:val="false"/>
          <w:sz w:val="20"/>
        </w:rPr>
        <w:t/>
      </w:r>
    </w:p>
    <w:p>
      <w:pPr>
        <w:pStyle w:val="ab"/>
      </w:pPr>
      <w:r>
        <w:t>发言人1 问：稳健型组合的主要配置是什么？北极星账户诊断产品为何要专门开发概念板块功能，它的主要解决的问题是什么？</w:t>
      </w:r>
    </w:p>
    <w:p>
      <w:r>
        <w:rPr>
          <w:rFonts w:ascii="等线(中文正文)" w:hAnsi="等线(中文正文)" w:cs="等线(中文正文)" w:eastAsia="等线(中文正文)"/>
          <w:b w:val="false"/>
          <w:i w:val="false"/>
          <w:sz w:val="20"/>
        </w:rPr>
        <w:t>发言人1 答：稳健型组合主要以国债为主，并配置了A股和美股权益资产。概念板块功能主要解决的问题是盘前热点信息多且分散，普通投资者难以短时间内整理出有效信息的问题。</w:t>
      </w:r>
    </w:p>
    <w:p>
      <w:r>
        <w:rPr>
          <w:rFonts w:ascii="等线(中文正文)" w:hAnsi="等线(中文正文)" w:cs="等线(中文正文)" w:eastAsia="等线(中文正文)"/>
          <w:b w:val="false"/>
          <w:i w:val="false"/>
          <w:sz w:val="20"/>
        </w:rPr>
        <w:t/>
      </w:r>
    </w:p>
    <w:p>
      <w:pPr>
        <w:pStyle w:val="ab"/>
      </w:pPr>
      <w:r>
        <w:t>发言人1 问：盘前观察清单中的六个概念是如何筛选出来的？</w:t>
      </w:r>
    </w:p>
    <w:p>
      <w:r>
        <w:rPr>
          <w:rFonts w:ascii="等线(中文正文)" w:hAnsi="等线(中文正文)" w:cs="等线(中文正文)" w:eastAsia="等线(中文正文)"/>
          <w:b w:val="false"/>
          <w:i w:val="false"/>
          <w:sz w:val="20"/>
        </w:rPr>
        <w:t>发言人1 答：筛选核心并非依据前一天涨跌幅，而是综合分析近两周内主力资金信号的变化，包括资金的方向、变化幅度和速度，并结合概念成分股的相关性进行准确判断。</w:t>
      </w:r>
    </w:p>
    <w:p>
      <w:r>
        <w:rPr>
          <w:rFonts w:ascii="等线(中文正文)" w:hAnsi="等线(中文正文)" w:cs="等线(中文正文)" w:eastAsia="等线(中文正文)"/>
          <w:b w:val="false"/>
          <w:i w:val="false"/>
          <w:sz w:val="20"/>
        </w:rPr>
        <w:t/>
      </w:r>
    </w:p>
    <w:p>
      <w:pPr>
        <w:pStyle w:val="ab"/>
      </w:pPr>
      <w:r>
        <w:t>发言人1 问：盘前观察清单的历史跟踪效果如何？概念板块与行业轮动有何区别？</w:t>
      </w:r>
    </w:p>
    <w:p>
      <w:r>
        <w:rPr>
          <w:rFonts w:ascii="等线(中文正文)" w:hAnsi="等线(中文正文)" w:cs="等线(中文正文)" w:eastAsia="等线(中文正文)"/>
          <w:b w:val="false"/>
          <w:i w:val="false"/>
          <w:sz w:val="20"/>
        </w:rPr>
        <w:t>发言人1 答：上线以来，在接近六成的交易日里，清单中出现一半以上概念在当天实现上涨，但强调该清单更适合作为盘前观察线索，投资者需结合自身投资分析做出决策。行业轮动基于一级行业分类，每周更新一次，观察中短期信号；概念板块围绕市场主题每日更新，变化更快，更贴近事件和资金驱动，二者相互补充。</w:t>
      </w:r>
    </w:p>
    <w:p>
      <w:r>
        <w:rPr>
          <w:rFonts w:ascii="等线(中文正文)" w:hAnsi="等线(中文正文)" w:cs="等线(中文正文)" w:eastAsia="等线(中文正文)"/>
          <w:b w:val="false"/>
          <w:i w:val="false"/>
          <w:sz w:val="20"/>
        </w:rPr>
        <w:t/>
      </w:r>
    </w:p>
    <w:p>
      <w:pPr>
        <w:pStyle w:val="ab"/>
      </w:pPr>
      <w:r>
        <w:t>发言人1 问：对于普通投资者而言，如何合理使用盘前观察清单？</w:t>
      </w:r>
    </w:p>
    <w:p>
      <w:r>
        <w:rPr>
          <w:rFonts w:ascii="等线(中文正文)" w:hAnsi="等线(中文正文)" w:cs="等线(中文正文)" w:eastAsia="等线(中文正文)"/>
          <w:b w:val="false"/>
          <w:i w:val="false"/>
          <w:sz w:val="20"/>
        </w:rPr>
        <w:t>发言人1 答：投资者可在开盘前查看清单的变化情况，判断资金信号延续性和新边际变化，并在开盘后结合真实盘面验证，形成自己的投资判断。</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