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电新每周汇 260823_导读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锂电 电源 液冷 电网设备 AIDC 储能 光伏 风电 隔膜 铝箔 BC组件 爱旭 负极 恩杰股份 佛素 一维 消费税 出口退税 产能 盈利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最近举行的电话会议中，国际电信的服务团队与投资者分享了电信板块过去一周的关键行业动态与投资见解。会议重点讨论了锂电、锂电材料、以及AIDC（人工智能与数据中心）相关领域的半年报，指出这些行业发布的积极业绩对股价产生了正面影响，巩固了板块及个股的长期投资逻辑。特别提及了宁德时代、易伟、腾辉等公司在业绩上的显著亮点和未来展望。此外，会议还分析了锂电板块的估值情况、AIDC电源技术的更新迭代以及电网设备出口等发展趋势，强调了科技与传统新能源双线并进的投资策略，特别是在锂电、储能、光伏和风电领域的机遇。会议还探讨了氢能试点城市群和风电行业的进展，以及大型重工公司在风电市场的发展潜力和增长前景，为投资者提供了深入的行业分析和投资建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锂电行业半年报解读与投资展望</w:t>
      </w:r>
    </w:p>
    <w:p>
      <w:r>
        <w:rPr>
          <w:rFonts w:ascii="等线(中文正文)" w:hAnsi="等线(中文正文)" w:cs="等线(中文正文)" w:eastAsia="等线(中文正文)"/>
          <w:b w:val="false"/>
          <w:i w:val="false"/>
          <w:sz w:val="20"/>
        </w:rPr>
        <w:t>本周会议聚焦于锂电行业半年报的关键信息，强调了行业景气修复的真实性和市场预期的向上修正。电池及材料公司表现亮眼，验证了行业高景气度，尤其是三季度旺季的强势基本面。当前锂电板块估值较低，平均在十倍左右，会议建议投资者重申对锂电行业的推荐，认为其具备中长期的投资价值。</w:t>
      </w:r>
    </w:p>
    <w:p>
      <w:r>
        <w:rPr>
          <w:rFonts w:ascii="等线(中文正文)" w:hAnsi="等线(中文正文)" w:cs="等线(中文正文)" w:eastAsia="等线(中文正文)"/>
          <w:b w:val="false"/>
          <w:i w:val="false"/>
          <w:sz w:val="20"/>
        </w:rPr>
        <w:t/>
      </w:r>
    </w:p>
    <w:p>
      <w:pPr>
        <w:pStyle w:val="ab"/>
        <w:numPr>
          <w:numId w:val="2"/>
        </w:numPr>
      </w:pPr>
      <w:r>
        <w:t>02:16 AIDC技术进展与供应链升级推动电源、液冷及电网设备板块</w:t>
      </w:r>
    </w:p>
    <w:p>
      <w:r>
        <w:rPr>
          <w:rFonts w:ascii="等线(中文正文)" w:hAnsi="等线(中文正文)" w:cs="等线(中文正文)" w:eastAsia="等线(中文正文)"/>
          <w:b w:val="false"/>
          <w:i w:val="false"/>
          <w:sz w:val="20"/>
        </w:rPr>
        <w:t>AIDC相关电源、液冷和电网设备企业在半年报中展现了新技术迭代、供应链开发和新签订单的积极进展，特别是在AI电源技术迭代、液冷设备订单增长和北美电网设备出口方面。这些进展预示着中国企业在供应链中的地位提升，以及业绩的持续兑现。建议投资者关注具备兑现能力和业绩弹性的科技核心标的，同时在传统新能源领域优选景气度高、中长期格局稳定的环节，如锂电电芯、隔膜等，并对储能、光伏、风电板块中的强阿尔法个股进行底部配置。</w:t>
      </w:r>
    </w:p>
    <w:p>
      <w:r>
        <w:rPr>
          <w:rFonts w:ascii="等线(中文正文)" w:hAnsi="等线(中文正文)" w:cs="等线(中文正文)" w:eastAsia="等线(中文正文)"/>
          <w:b w:val="false"/>
          <w:i w:val="false"/>
          <w:sz w:val="20"/>
        </w:rPr>
        <w:t/>
      </w:r>
    </w:p>
    <w:p>
      <w:pPr>
        <w:pStyle w:val="ab"/>
        <w:numPr>
          <w:numId w:val="3"/>
        </w:numPr>
      </w:pPr>
      <w:r>
        <w:t>04:48 爱旭BC组件在欧洲市场表现强劲，推动行业周期复苏</w:t>
      </w:r>
    </w:p>
    <w:p>
      <w:r>
        <w:rPr>
          <w:rFonts w:ascii="等线(中文正文)" w:hAnsi="等线(中文正文)" w:cs="等线(中文正文)" w:eastAsia="等线(中文正文)"/>
          <w:b w:val="false"/>
          <w:i w:val="false"/>
          <w:sz w:val="20"/>
        </w:rPr>
        <w:t>欧洲大型在线光伏产品销售平台发布7月销售报告，显示高端组件如全黑组件和BC组件价格上行，涨幅分别达8%和4%。爱旭BC组件均价达13.5欧元，超过人民币1元，且在分布式渠道销量榜首，证明其在欧洲高端市场地位稳固。这些因素驱动行业周期复苏，实现整体盈利。</w:t>
      </w:r>
    </w:p>
    <w:p>
      <w:r>
        <w:rPr>
          <w:rFonts w:ascii="等线(中文正文)" w:hAnsi="等线(中文正文)" w:cs="等线(中文正文)" w:eastAsia="等线(中文正文)"/>
          <w:b w:val="false"/>
          <w:i w:val="false"/>
          <w:sz w:val="20"/>
        </w:rPr>
        <w:t/>
      </w:r>
    </w:p>
    <w:p>
      <w:pPr>
        <w:pStyle w:val="ab"/>
        <w:numPr>
          <w:numId w:val="4"/>
        </w:numPr>
      </w:pPr>
      <w:r>
        <w:t>05:58 锂电板块半年报亮点与推荐更新</w:t>
      </w:r>
    </w:p>
    <w:p>
      <w:r>
        <w:rPr>
          <w:rFonts w:ascii="等线(中文正文)" w:hAnsi="等线(中文正文)" w:cs="等线(中文正文)" w:eastAsia="等线(中文正文)"/>
          <w:b w:val="false"/>
          <w:i w:val="false"/>
          <w:sz w:val="20"/>
        </w:rPr>
        <w:t>锂电板块中报显示业绩超预期，特别是电池、储能和商用车领域，推动板块上涨。预计明年需求增长30%以上，强化了量价提升的逻辑。推荐锂电板块，指出负极、隔膜等环节的带动率将提升，产业链供应紧张可能加剧。</w:t>
      </w:r>
    </w:p>
    <w:p>
      <w:r>
        <w:rPr>
          <w:rFonts w:ascii="等线(中文正文)" w:hAnsi="等线(中文正文)" w:cs="等线(中文正文)" w:eastAsia="等线(中文正文)"/>
          <w:b w:val="false"/>
          <w:i w:val="false"/>
          <w:sz w:val="20"/>
        </w:rPr>
        <w:t/>
      </w:r>
    </w:p>
    <w:p>
      <w:pPr>
        <w:pStyle w:val="ab"/>
        <w:numPr>
          <w:numId w:val="5"/>
        </w:numPr>
      </w:pPr>
      <w:r>
        <w:t>08:19 隔膜行业与电池行业业绩分析</w:t>
      </w:r>
    </w:p>
    <w:p>
      <w:r>
        <w:rPr>
          <w:rFonts w:ascii="等线(中文正文)" w:hAnsi="等线(中文正文)" w:cs="等线(中文正文)" w:eastAsia="等线(中文正文)"/>
          <w:b w:val="false"/>
          <w:i w:val="false"/>
          <w:sz w:val="20"/>
        </w:rPr>
        <w:t>对话主要讨论了隔膜行业和电池行业的业绩情况，指出恩杰股份在隔膜环节表现出色，预计未来业绩将持续增长；电池行业方面，公司强调新增供给紧张，产能稀缺，预计明年整体动力和储能需求将持续增长，且头部企业受益于消费税和出口退税政策。</w:t>
      </w:r>
    </w:p>
    <w:p>
      <w:r>
        <w:rPr>
          <w:rFonts w:ascii="等线(中文正文)" w:hAnsi="等线(中文正文)" w:cs="等线(中文正文)" w:eastAsia="等线(中文正文)"/>
          <w:b w:val="false"/>
          <w:i w:val="false"/>
          <w:sz w:val="20"/>
        </w:rPr>
        <w:t/>
      </w:r>
    </w:p>
    <w:p>
      <w:pPr>
        <w:pStyle w:val="ab"/>
        <w:numPr>
          <w:numId w:val="6"/>
        </w:numPr>
      </w:pPr>
      <w:r>
        <w:t>11:17 锂电板块供需分析与未来展望</w:t>
      </w:r>
    </w:p>
    <w:p>
      <w:r>
        <w:rPr>
          <w:rFonts w:ascii="等线(中文正文)" w:hAnsi="等线(中文正文)" w:cs="等线(中文正文)" w:eastAsia="等线(中文正文)"/>
          <w:b w:val="false"/>
          <w:i w:val="false"/>
          <w:sz w:val="20"/>
        </w:rPr>
        <w:t>对话深入分析了锂电板块的供需状况，特别是负极环节，指出明年需求增速与供给不足导致价格上涨，上泰科技产能扩张及外协比例调整将提升业绩。此外，核心受益环节如高景气度、格局良好及涨价弹性环节被看好，包括宁德、恩杰等企业。板块催化因素包括中报业绩、旺季排产及供应商大会，整体推荐锂电板块。</w:t>
      </w:r>
    </w:p>
    <w:p>
      <w:r>
        <w:rPr>
          <w:rFonts w:ascii="等线(中文正文)" w:hAnsi="等线(中文正文)" w:cs="等线(中文正文)" w:eastAsia="等线(中文正文)"/>
          <w:b w:val="false"/>
          <w:i w:val="false"/>
          <w:sz w:val="20"/>
        </w:rPr>
        <w:t/>
      </w:r>
    </w:p>
    <w:p>
      <w:pPr>
        <w:pStyle w:val="ab"/>
        <w:numPr>
          <w:numId w:val="7"/>
        </w:numPr>
      </w:pPr>
      <w:r>
        <w:t>13:56 液冷产业链半年报亮点与趋势分析</w:t>
      </w:r>
    </w:p>
    <w:p>
      <w:r>
        <w:rPr>
          <w:rFonts w:ascii="等线(中文正文)" w:hAnsi="等线(中文正文)" w:cs="等线(中文正文)" w:eastAsia="等线(中文正文)"/>
          <w:b w:val="false"/>
          <w:i w:val="false"/>
          <w:sz w:val="20"/>
        </w:rPr>
        <w:t>近期国内液冷公司密集发布中报，尽管二季度业绩贡献相对较少，但订单与客户推进情况良好，特别是上游与数据中心基建环节已有明显体现，超市场预期。行业需求旺盛，预计三四季度趋势将向产业链下游延伸。</w:t>
      </w:r>
    </w:p>
    <w:p>
      <w:r>
        <w:rPr>
          <w:rFonts w:ascii="等线(中文正文)" w:hAnsi="等线(中文正文)" w:cs="等线(中文正文)" w:eastAsia="等线(中文正文)"/>
          <w:b w:val="false"/>
          <w:i w:val="false"/>
          <w:sz w:val="20"/>
        </w:rPr>
        <w:t/>
      </w:r>
    </w:p>
    <w:p>
      <w:pPr>
        <w:pStyle w:val="ab"/>
        <w:numPr>
          <w:numId w:val="8"/>
        </w:numPr>
      </w:pPr>
      <w:r>
        <w:t>15:16 三公司亮点分析：铜材产能扩张与电子泵订单突破</w:t>
      </w:r>
    </w:p>
    <w:p>
      <w:r>
        <w:rPr>
          <w:rFonts w:ascii="等线(中文正文)" w:hAnsi="等线(中文正文)" w:cs="等线(中文正文)" w:eastAsia="等线(中文正文)"/>
          <w:b w:val="false"/>
          <w:i w:val="false"/>
          <w:sz w:val="20"/>
        </w:rPr>
        <w:t>分析了金钱公司铜材业务的强劲增长及再生铜应用潜力，以及飞龙公司电子泵订单的显著突破，预示着市场对新技术的广泛接受和大规模交付阶段的到来。</w:t>
      </w:r>
    </w:p>
    <w:p>
      <w:r>
        <w:rPr>
          <w:rFonts w:ascii="等线(中文正文)" w:hAnsi="等线(中文正文)" w:cs="等线(中文正文)" w:eastAsia="等线(中文正文)"/>
          <w:b w:val="false"/>
          <w:i w:val="false"/>
          <w:sz w:val="20"/>
        </w:rPr>
        <w:t/>
      </w:r>
    </w:p>
    <w:p>
      <w:pPr>
        <w:pStyle w:val="ab"/>
        <w:numPr>
          <w:numId w:val="9"/>
        </w:numPr>
      </w:pPr>
      <w:r>
        <w:t>19:47 数据中心建设需求激增，全球产能布局加速</w:t>
      </w:r>
    </w:p>
    <w:p>
      <w:r>
        <w:rPr>
          <w:rFonts w:ascii="等线(中文正文)" w:hAnsi="等线(中文正文)" w:cs="等线(中文正文)" w:eastAsia="等线(中文正文)"/>
          <w:b w:val="false"/>
          <w:i w:val="false"/>
          <w:sz w:val="20"/>
        </w:rPr>
        <w:t>对话讨论了全球数据中心建设需求激增背景下，谷歌CPU需求提升与产能瓶颈问题，以及相关企业如顿汉布什的全球产能布局加速，特别是北美市场的订单外移趋势明显。上游液冷产品和数据中心基建先行环节的超预期订单，反映了终端AI数据建设需求强劲，客户提前锁定关键零部件和设备产能的现象。未来，随着马来西亚新工厂的投产，公司产能将大幅提升，进一步巩固在全球市场的地位。</w:t>
      </w:r>
    </w:p>
    <w:p>
      <w:r>
        <w:rPr>
          <w:rFonts w:ascii="等线(中文正文)" w:hAnsi="等线(中文正文)" w:cs="等线(中文正文)" w:eastAsia="等线(中文正文)"/>
          <w:b w:val="false"/>
          <w:i w:val="false"/>
          <w:sz w:val="20"/>
        </w:rPr>
        <w:t/>
      </w:r>
    </w:p>
    <w:p>
      <w:pPr>
        <w:pStyle w:val="ab"/>
        <w:numPr>
          <w:numId w:val="10"/>
        </w:numPr>
      </w:pPr>
      <w:r>
        <w:t>23:41 主动液冷技术战略投资及其对产业链的影响</w:t>
      </w:r>
    </w:p>
    <w:p>
      <w:r>
        <w:rPr>
          <w:rFonts w:ascii="等线(中文正文)" w:hAnsi="等线(中文正文)" w:cs="等线(中文正文)" w:eastAsia="等线(中文正文)"/>
          <w:b w:val="false"/>
          <w:i w:val="false"/>
          <w:sz w:val="20"/>
        </w:rPr>
        <w:t>对话讨论了末世对CAE plus的战略投资，旨在推进下一代GPU和ASIC的主动液冷技术，以应对高热流密度挑战。这标志着液冷供给从部件扩产转向技术平台和系统能力建设，强调了高性能材料、结构件、流体控制及泵阀的重要性。投资建议聚焦于生态环境、冰轮环境及水泵环节相关企业。</w:t>
      </w:r>
    </w:p>
    <w:p>
      <w:r>
        <w:rPr>
          <w:rFonts w:ascii="等线(中文正文)" w:hAnsi="等线(中文正文)" w:cs="等线(中文正文)" w:eastAsia="等线(中文正文)"/>
          <w:b w:val="false"/>
          <w:i w:val="false"/>
          <w:sz w:val="20"/>
        </w:rPr>
        <w:t/>
      </w:r>
    </w:p>
    <w:p>
      <w:pPr>
        <w:pStyle w:val="ab"/>
        <w:numPr>
          <w:numId w:val="11"/>
        </w:numPr>
      </w:pPr>
      <w:r>
        <w:t>25:36 五大氢能试点城市群正式落地，80亿资金启动</w:t>
      </w:r>
    </w:p>
    <w:p>
      <w:r>
        <w:rPr>
          <w:rFonts w:ascii="等线(中文正文)" w:hAnsi="等线(中文正文)" w:cs="等线(中文正文)" w:eastAsia="等线(中文正文)"/>
          <w:b w:val="false"/>
          <w:i w:val="false"/>
          <w:sz w:val="20"/>
        </w:rPr>
        <w:t>五大氢能试点城市群正式获得国家批复，涉及京津冀、大湾区等区域，总资金80亿，采用以奖代补方式，先预拨后清算。政策强调考核刚性，与奖励挂钩，确保资金到位，预计地方配套细则将陆续出台，经济性可量化评估。</w:t>
      </w:r>
    </w:p>
    <w:p>
      <w:r>
        <w:rPr>
          <w:rFonts w:ascii="等线(中文正文)" w:hAnsi="等线(中文正文)" w:cs="等线(中文正文)" w:eastAsia="等线(中文正文)"/>
          <w:b w:val="false"/>
          <w:i w:val="false"/>
          <w:sz w:val="20"/>
        </w:rPr>
        <w:t/>
      </w:r>
    </w:p>
    <w:p>
      <w:pPr>
        <w:pStyle w:val="ab"/>
        <w:numPr>
          <w:numId w:val="12"/>
        </w:numPr>
      </w:pPr>
      <w:r>
        <w:t>28:29 十四五期间氢能产业协同与示范城市群建设</w:t>
      </w:r>
    </w:p>
    <w:p>
      <w:r>
        <w:rPr>
          <w:rFonts w:ascii="等线(中文正文)" w:hAnsi="等线(中文正文)" w:cs="等线(中文正文)" w:eastAsia="等线(中文正文)"/>
          <w:b w:val="false"/>
          <w:i w:val="false"/>
          <w:sz w:val="20"/>
        </w:rPr>
        <w:t>对话聚焦于十四五期间氢能产业的协同效应，从交通为主转向工业加交通及多场景创新，强调下游应用场景，特别是工业和化工领域。提出示范城市群概念，旨在打通产业链上下游，推动氢能在多个区域的应用落地，如黄河湾至中原城市、大湾区、东北及长三角的跨区域配对，实现资源优化与应用推广。核心在于项目制清单制管理，设定量化目标，确保项目落地与应用，反映能源局对新能源规划的逐步推进。</w:t>
      </w:r>
    </w:p>
    <w:p>
      <w:r>
        <w:rPr>
          <w:rFonts w:ascii="等线(中文正文)" w:hAnsi="等线(中文正文)" w:cs="等线(中文正文)" w:eastAsia="等线(中文正文)"/>
          <w:b w:val="false"/>
          <w:i w:val="false"/>
          <w:sz w:val="20"/>
        </w:rPr>
        <w:t/>
      </w:r>
    </w:p>
    <w:p>
      <w:pPr>
        <w:pStyle w:val="ab"/>
        <w:numPr>
          <w:numId w:val="13"/>
        </w:numPr>
      </w:pPr>
      <w:r>
        <w:t>31:02 氢能政策推动储运与设备发展</w:t>
      </w:r>
    </w:p>
    <w:p>
      <w:r>
        <w:rPr>
          <w:rFonts w:ascii="等线(中文正文)" w:hAnsi="等线(中文正文)" w:cs="等线(中文正文)" w:eastAsia="等线(中文正文)"/>
          <w:b w:val="false"/>
          <w:i w:val="false"/>
          <w:sz w:val="20"/>
        </w:rPr>
        <w:t>对话围绕氢能综合示范区政策展开，强调了储运成本降低对终端价格的影响，以及电解槽效率提升的成长空间。政策目标包括2030年全国终端用氢均价降至25元/公斤以下，其中风光资源制氢力争降至15元/公斤。同时，规划了内蒙古乌兰察布至北京的长输管道，利用废弃天然气管道改造，以降低储运成本。此外，燃料电池汽车保有量目标为10万辆，氢气日均用量将从50万吨增至200万吨，补贴政策将推动绿氢项目开工与应用。投资建议集中在天安城项目运营商、电解槽设备供应商及燃料电池头部企业。</w:t>
      </w:r>
    </w:p>
    <w:p>
      <w:r>
        <w:rPr>
          <w:rFonts w:ascii="等线(中文正文)" w:hAnsi="等线(中文正文)" w:cs="等线(中文正文)" w:eastAsia="等线(中文正文)"/>
          <w:b w:val="false"/>
          <w:i w:val="false"/>
          <w:sz w:val="20"/>
        </w:rPr>
        <w:t/>
      </w:r>
    </w:p>
    <w:p>
      <w:pPr>
        <w:pStyle w:val="ab"/>
        <w:numPr>
          <w:numId w:val="14"/>
        </w:numPr>
      </w:pPr>
      <w:r>
        <w:t>35:58 大金重工半年报解读：业绩承压与未来展望</w:t>
      </w:r>
    </w:p>
    <w:p>
      <w:r>
        <w:rPr>
          <w:rFonts w:ascii="等线(中文正文)" w:hAnsi="等线(中文正文)" w:cs="等线(中文正文)" w:eastAsia="等线(中文正文)"/>
          <w:b w:val="false"/>
          <w:i w:val="false"/>
          <w:sz w:val="20"/>
        </w:rPr>
        <w:t>风电公司大金重工发布的半年报显示，二季度业绩承压主要受海运递延、人民币升值汇兑损失及国内制造业务亏损影响。尽管短期内面临挑战，但公司在欧洲海风市场的领先地位稳固，欧洲政策端积极努力为未来发展提供确定性。投资者可关注其长期布局机会。</w:t>
      </w:r>
    </w:p>
    <w:p>
      <w:r>
        <w:rPr>
          <w:rFonts w:ascii="等线(中文正文)" w:hAnsi="等线(中文正文)" w:cs="等线(中文正文)" w:eastAsia="等线(中文正文)"/>
          <w:b w:val="false"/>
          <w:i w:val="false"/>
          <w:sz w:val="20"/>
        </w:rPr>
        <w:t/>
      </w:r>
    </w:p>
    <w:p>
      <w:pPr>
        <w:pStyle w:val="ab"/>
        <w:numPr>
          <w:numId w:val="15"/>
        </w:numPr>
      </w:pPr>
      <w:r>
        <w:t>38:09 公司下半年业绩与欧洲海风供应链前景分析</w:t>
      </w:r>
    </w:p>
    <w:p>
      <w:r>
        <w:rPr>
          <w:rFonts w:ascii="等线(中文正文)" w:hAnsi="等线(中文正文)" w:cs="等线(中文正文)" w:eastAsia="等线(中文正文)"/>
          <w:b w:val="false"/>
          <w:i w:val="false"/>
          <w:sz w:val="20"/>
        </w:rPr>
        <w:t>对话讨论了公司下半年业绩的积极预期，包括运输问题解决和波兰、德国项目交付进展。预计下半年自由运输船的使用将显著提升盈利能力，单桩产品净利环比一季度有明显提升。欧洲海风供应链订单在未来1-3年内将陆续释放，行业基本面超预期，建议投资者积极布局。</w:t>
      </w:r>
    </w:p>
    <w:p>
      <w:r>
        <w:rPr>
          <w:rFonts w:ascii="等线(中文正文)" w:hAnsi="等线(中文正文)" w:cs="等线(中文正文)" w:eastAsia="等线(中文正文)"/>
          <w:b w:val="false"/>
          <w:i w:val="false"/>
          <w:sz w:val="20"/>
        </w:rPr>
        <w:t/>
      </w:r>
    </w:p>
    <w:p>
      <w:pPr>
        <w:pStyle w:val="a7"/>
      </w:pPr>
      <w:r>
        <w:t>发言总结</w:t>
      </w:r>
    </w:p>
    <w:p>
      <w:pPr>
        <w:pStyle w:val="ab"/>
        <w:numPr>
          <w:numId w:val="16"/>
        </w:numPr>
      </w:pPr>
      <w:r>
        <w:t>发言人1</w:t>
      </w:r>
    </w:p>
    <w:p>
      <w:r>
        <w:rPr>
          <w:rFonts w:ascii="等线(中文正文)" w:hAnsi="等线(中文正文)" w:cs="等线(中文正文)" w:eastAsia="等线(中文正文)"/>
          <w:b w:val="false"/>
          <w:i w:val="false"/>
          <w:sz w:val="20"/>
        </w:rPr>
        <w:t>他主持的国际电信周会电话会议着重分析了锂电、锂电材料以及AIDC相关电源、液冷和电网设备等子行业的市场状况与投资机会。会议指出，随着多家公司半年报的发布，行业展现出积极信号，验证了板块和个股的中长期投资逻辑，对股价形成正面影响。特别地，锂电领域尽管先前因对2027年供需的悲观预期而股价下跌，但积极的业绩和未来展望信息促使市场预期向上修正，呈现良好投资时机。AIDC相关的电源和液冷技术市场亦显示强劲增长势头，预示新发展机遇。风电和氢能领域也被提及，强调技术创新、政策支持及市场需求增长对其发展的推动作用。他建议投资者关注锂电板块的高成长性与估值优势，并鼓励根据板块内积极信号进行投资布局，同时深入讨论了相关公司的业绩与市场前景。</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问：在已经发布的半年报中，有哪些亮点信息对相关行业和个股的投资有积极影响？</w:t>
      </w:r>
    </w:p>
    <w:p>
      <w:r>
        <w:rPr>
          <w:rFonts w:ascii="等线(中文正文)" w:hAnsi="等线(中文正文)" w:cs="等线(中文正文)" w:eastAsia="等线(中文正文)"/>
          <w:b w:val="false"/>
          <w:i w:val="false"/>
          <w:sz w:val="20"/>
        </w:rPr>
        <w:t>发言人1 答：在已经发布的半年报中，锂电行业的亮点信息较多。宁德时代在业绩会上给出了未来三年积极增速指引，并计划进行200到400亿的回购。此外，电池环节的公司如易伟、腾辉等普遍给出了比市场预期更乐观的2027年判断。上游材料公司凭借强劲的半年报业绩表现和下半年乐观经营指引，验证了锂电行业景气修复的真实性及旺季高景气情况。</w:t>
      </w:r>
    </w:p>
    <w:p>
      <w:r>
        <w:rPr>
          <w:rFonts w:ascii="等线(中文正文)" w:hAnsi="等线(中文正文)" w:cs="等线(中文正文)" w:eastAsia="等线(中文正文)"/>
          <w:b w:val="false"/>
          <w:i w:val="false"/>
          <w:sz w:val="20"/>
        </w:rPr>
        <w:t/>
      </w:r>
    </w:p>
    <w:p>
      <w:pPr>
        <w:pStyle w:val="ab"/>
      </w:pPr>
      <w:r>
        <w:t>发言人1 问：锂电板块近期表现如何？对于2027年行业景气度预期有何影响？</w:t>
      </w:r>
    </w:p>
    <w:p>
      <w:r>
        <w:rPr>
          <w:rFonts w:ascii="等线(中文正文)" w:hAnsi="等线(中文正文)" w:cs="等线(中文正文)" w:eastAsia="等线(中文正文)"/>
          <w:b w:val="false"/>
          <w:i w:val="false"/>
          <w:sz w:val="20"/>
        </w:rPr>
        <w:t>发言人1 答：近期，锂电板块遭遇市场风格因素导致的资金抽血而出现明显下跌，但这与行业基本面趋势背离。随着中报及业绩会传递出积极信息，结合三季度旺季强势的基本面量价表现，市场对于2027年行业景气度预期有望向上修正。当前锂电板块估值较低，平均在十倍出头，因此我们重申推荐该板块。</w:t>
      </w:r>
    </w:p>
    <w:p>
      <w:r>
        <w:rPr>
          <w:rFonts w:ascii="等线(中文正文)" w:hAnsi="等线(中文正文)" w:cs="等线(中文正文)" w:eastAsia="等线(中文正文)"/>
          <w:b w:val="false"/>
          <w:i w:val="false"/>
          <w:sz w:val="20"/>
        </w:rPr>
        <w:t/>
      </w:r>
    </w:p>
    <w:p>
      <w:pPr>
        <w:pStyle w:val="ab"/>
      </w:pPr>
      <w:r>
        <w:t>发言人1 问：AIDC电源、液冷及电网建设相关企业在半年报中有何亮点？</w:t>
      </w:r>
    </w:p>
    <w:p>
      <w:r>
        <w:rPr>
          <w:rFonts w:ascii="等线(中文正文)" w:hAnsi="等线(中文正文)" w:cs="等线(中文正文)" w:eastAsia="等线(中文正文)"/>
          <w:b w:val="false"/>
          <w:i w:val="false"/>
          <w:sz w:val="20"/>
        </w:rPr>
        <w:t>发言人1 答：这些企业在新技术进展、供应链开发以及新签订单数据方面表现突出。例如，部电路认为未来几年AI电源将保持每年技术迭代状态，下半年服务器交货放量将提升公司AI客户收入占比。电源架构持续升级将带动电源模块高端PPD和上游功率器件产品升级与价值量提升，同时也会增强中国企业在供应链中的地位。</w:t>
      </w:r>
    </w:p>
    <w:p>
      <w:r>
        <w:rPr>
          <w:rFonts w:ascii="等线(中文正文)" w:hAnsi="等线(中文正文)" w:cs="等线(中文正文)" w:eastAsia="等线(中文正文)"/>
          <w:b w:val="false"/>
          <w:i w:val="false"/>
          <w:sz w:val="20"/>
        </w:rPr>
        <w:t/>
      </w:r>
    </w:p>
    <w:p>
      <w:pPr>
        <w:pStyle w:val="ab"/>
      </w:pPr>
      <w:r>
        <w:t>发言人1 问：业务板块和电网设备出口企业金盘科技在半年报中的表现如何？针对整个电信板块的策略是什么？</w:t>
      </w:r>
    </w:p>
    <w:p>
      <w:r>
        <w:rPr>
          <w:rFonts w:ascii="等线(中文正文)" w:hAnsi="等线(中文正文)" w:cs="等线(中文正文)" w:eastAsia="等线(中文正文)"/>
          <w:b w:val="false"/>
          <w:i w:val="false"/>
          <w:sz w:val="20"/>
        </w:rPr>
        <w:t>发言人1 答：业务板块中，多家公司在半年报中详细说明了客户订单情况，如同财金田股份、飞龙股份和金融环境等，在订单和业绩层面开始兑现，订单规模超过市场预期水平。金盘科技在北美电网设备出口方面，对海外新增订单特别是与AI基建相关的订单情况及产品交付周期给出了积极反馈，市场反应强烈。我们维持科技与古典新能源双线配置的建议，聚焦AIDC相关的电源液能、电网设备等具备兑现能力和业绩弹性的核心标的；同时重申看好锂电板块，优选景气度高且中长期格局维持性强的环节，如电芯、隔膜、铝箔等。此外，在储能、光伏、风电板块中关注股价低位的强阿尔法个股。</w:t>
      </w:r>
    </w:p>
    <w:p>
      <w:r>
        <w:rPr>
          <w:rFonts w:ascii="等线(中文正文)" w:hAnsi="等线(中文正文)" w:cs="等线(中文正文)" w:eastAsia="等线(中文正文)"/>
          <w:b w:val="false"/>
          <w:i w:val="false"/>
          <w:sz w:val="20"/>
        </w:rPr>
        <w:t/>
      </w:r>
    </w:p>
    <w:p>
      <w:pPr>
        <w:pStyle w:val="ab"/>
      </w:pPr>
      <w:r>
        <w:t>发言人1 问：关于光伏板块，有哪些最新进展？</w:t>
      </w:r>
    </w:p>
    <w:p>
      <w:r>
        <w:rPr>
          <w:rFonts w:ascii="等线(中文正文)" w:hAnsi="等线(中文正文)" w:cs="等线(中文正文)" w:eastAsia="等线(中文正文)"/>
          <w:b w:val="false"/>
          <w:i w:val="false"/>
          <w:sz w:val="20"/>
        </w:rPr>
        <w:t>发言人1 答：BC（爱旭）太阳能组件在欧洲高端分布式渠道市场的地位持续巩固，七月份销量位居榜首，并且全黑组件和BC组件的均价环比均有明显上涨，显示出高溢价市场的销量敞口。这有助于爱旭率先走出行业周期，实现整体盈利。</w:t>
      </w:r>
    </w:p>
    <w:p>
      <w:r>
        <w:rPr>
          <w:rFonts w:ascii="等线(中文正文)" w:hAnsi="等线(中文正文)" w:cs="等线(中文正文)" w:eastAsia="等线(中文正文)"/>
          <w:b w:val="false"/>
          <w:i w:val="false"/>
          <w:sz w:val="20"/>
        </w:rPr>
        <w:t/>
      </w:r>
    </w:p>
    <w:p>
      <w:pPr>
        <w:pStyle w:val="ab"/>
      </w:pPr>
      <w:r>
        <w:t>发言人1 问：对于锂电板块的具体看法如何？</w:t>
      </w:r>
    </w:p>
    <w:p>
      <w:r>
        <w:rPr>
          <w:rFonts w:ascii="等线(中文正文)" w:hAnsi="等线(中文正文)" w:cs="等线(中文正文)" w:eastAsia="等线(中文正文)"/>
          <w:b w:val="false"/>
          <w:i w:val="false"/>
          <w:sz w:val="20"/>
        </w:rPr>
        <w:t>发言人1 答：目前来看，今年至明年锂电量价提升的逻辑进一步强化，且从现在到年底有很多催化因素。已发布中报的锂电公司业绩超预期，尤其是电池、储能商用车环节。我们预计明年锂电需求增速将超过30%，之前市场的悲观预期被明显上修，因此强化了整个产业涨价逻辑，并且头部供应商不足和产业链紧张的情况可能在明年加剧。</w:t>
      </w:r>
    </w:p>
    <w:p>
      <w:r>
        <w:rPr>
          <w:rFonts w:ascii="等线(中文正文)" w:hAnsi="等线(中文正文)" w:cs="等线(中文正文)" w:eastAsia="等线(中文正文)"/>
          <w:b w:val="false"/>
          <w:i w:val="false"/>
          <w:sz w:val="20"/>
        </w:rPr>
        <w:t/>
      </w:r>
    </w:p>
    <w:p>
      <w:pPr>
        <w:pStyle w:val="ab"/>
      </w:pPr>
      <w:r>
        <w:t>发言人1 问：恩杰股份在隔膜环节的业绩表现如何？</w:t>
      </w:r>
    </w:p>
    <w:p>
      <w:r>
        <w:rPr>
          <w:rFonts w:ascii="等线(中文正文)" w:hAnsi="等线(中文正文)" w:cs="等线(中文正文)" w:eastAsia="等线(中文正文)"/>
          <w:b w:val="false"/>
          <w:i w:val="false"/>
          <w:sz w:val="20"/>
        </w:rPr>
        <w:t>发言人1 答：恩杰股份的隔膜业务在中报中表现亮眼，上半年规模达到7到9亿，同比大幅扭亏。二季度出货量峰值为5.58亿，较之前预期的3亿元翻倍，出货增长了20%以上，并且价格和盈利快速兑现。</w:t>
      </w:r>
    </w:p>
    <w:p>
      <w:r>
        <w:rPr>
          <w:rFonts w:ascii="等线(中文正文)" w:hAnsi="等线(中文正文)" w:cs="等线(中文正文)" w:eastAsia="等线(中文正文)"/>
          <w:b w:val="false"/>
          <w:i w:val="false"/>
          <w:sz w:val="20"/>
        </w:rPr>
        <w:t/>
      </w:r>
    </w:p>
    <w:p>
      <w:pPr>
        <w:pStyle w:val="ab"/>
      </w:pPr>
      <w:r>
        <w:t>发言人1 问：隔膜环节整体行业的涨价情况是怎样的？</w:t>
      </w:r>
    </w:p>
    <w:p>
      <w:r>
        <w:rPr>
          <w:rFonts w:ascii="等线(中文正文)" w:hAnsi="等线(中文正文)" w:cs="等线(中文正文)" w:eastAsia="等线(中文正文)"/>
          <w:b w:val="false"/>
          <w:i w:val="false"/>
          <w:sz w:val="20"/>
        </w:rPr>
        <w:t>发言人1 答：从去年底至今，隔膜行业已经经历了2到3轮涨价，每轮涨幅约10%，接近1美金/平方米。目前，虽然唯一的大客户的价格还在谈判中，但国内外其他客户已落地2到3轮涨价，累计涨幅在20%到30%左右。</w:t>
      </w:r>
    </w:p>
    <w:p>
      <w:r>
        <w:rPr>
          <w:rFonts w:ascii="等线(中文正文)" w:hAnsi="等线(中文正文)" w:cs="等线(中文正文)" w:eastAsia="等线(中文正文)"/>
          <w:b w:val="false"/>
          <w:i w:val="false"/>
          <w:sz w:val="20"/>
        </w:rPr>
        <w:t/>
      </w:r>
    </w:p>
    <w:p>
      <w:pPr>
        <w:pStyle w:val="ab"/>
      </w:pPr>
      <w:r>
        <w:t>发言人1 问：恩杰今年和明年的业绩预期是多少？</w:t>
      </w:r>
    </w:p>
    <w:p>
      <w:r>
        <w:rPr>
          <w:rFonts w:ascii="等线(中文正文)" w:hAnsi="等线(中文正文)" w:cs="等线(中文正文)" w:eastAsia="等线(中文正文)"/>
          <w:b w:val="false"/>
          <w:i w:val="false"/>
          <w:sz w:val="20"/>
        </w:rPr>
        <w:t>发言人1 答：我们预计恩杰今年明年的业绩将在20到40亿以上，明年目前看PE只有12倍，且佛素和金元等企业的份额和单位盈利提升超预期，今年明年的业绩也会比较好。</w:t>
      </w:r>
    </w:p>
    <w:p>
      <w:r>
        <w:rPr>
          <w:rFonts w:ascii="等线(中文正文)" w:hAnsi="等线(中文正文)" w:cs="等线(中文正文)" w:eastAsia="等线(中文正文)"/>
          <w:b w:val="false"/>
          <w:i w:val="false"/>
          <w:sz w:val="20"/>
        </w:rPr>
        <w:t/>
      </w:r>
    </w:p>
    <w:p>
      <w:pPr>
        <w:pStyle w:val="ab"/>
      </w:pPr>
      <w:r>
        <w:t>发言人1 问：电池环节尤其是储能和海外出口的需求情况如何？</w:t>
      </w:r>
    </w:p>
    <w:p>
      <w:r>
        <w:rPr>
          <w:rFonts w:ascii="等线(中文正文)" w:hAnsi="等线(中文正文)" w:cs="等线(中文正文)" w:eastAsia="等线(中文正文)"/>
          <w:b w:val="false"/>
          <w:i w:val="false"/>
          <w:sz w:val="20"/>
        </w:rPr>
        <w:t>发言人1 答：电池环节中，储能上市及海外出口需求上升推动产能增长，明年预计出货量将达到359瓦时，同比增长50%以上。其中宝马拉动大圆柱海外动力出货增长，同时整个电池行业新增供给趋于紧张，未来产能稀缺，消费税和出口退税利好头部企业。</w:t>
      </w:r>
    </w:p>
    <w:p>
      <w:r>
        <w:rPr>
          <w:rFonts w:ascii="等线(中文正文)" w:hAnsi="等线(中文正文)" w:cs="等线(中文正文)" w:eastAsia="等线(中文正文)"/>
          <w:b w:val="false"/>
          <w:i w:val="false"/>
          <w:sz w:val="20"/>
        </w:rPr>
        <w:t/>
      </w:r>
    </w:p>
    <w:p>
      <w:pPr>
        <w:pStyle w:val="ab"/>
      </w:pPr>
      <w:r>
        <w:t>发言人1 问：负极环节的需求和供给情况怎么样？</w:t>
      </w:r>
    </w:p>
    <w:p>
      <w:r>
        <w:rPr>
          <w:rFonts w:ascii="等线(中文正文)" w:hAnsi="等线(中文正文)" w:cs="等线(中文正文)" w:eastAsia="等线(中文正文)"/>
          <w:b w:val="false"/>
          <w:i w:val="false"/>
          <w:sz w:val="20"/>
        </w:rPr>
        <w:t>发言人1 答：负极环节在明年需求确定的基础上，供给明显不足。预计今年需求为400万吨，明年增速30%至520万吨，但行业新增供给不足120万吨，导致价格率会进一步提升。</w:t>
      </w:r>
    </w:p>
    <w:p>
      <w:r>
        <w:rPr>
          <w:rFonts w:ascii="等线(中文正文)" w:hAnsi="等线(中文正文)" w:cs="等线(中文正文)" w:eastAsia="等线(中文正文)"/>
          <w:b w:val="false"/>
          <w:i w:val="false"/>
          <w:sz w:val="20"/>
        </w:rPr>
        <w:t/>
      </w:r>
    </w:p>
    <w:p>
      <w:pPr>
        <w:pStyle w:val="ab"/>
      </w:pPr>
      <w:r>
        <w:t>发言人1 问：上泰科技今年和明年的业绩预测是怎样的？</w:t>
      </w:r>
    </w:p>
    <w:p>
      <w:r>
        <w:rPr>
          <w:rFonts w:ascii="等线(中文正文)" w:hAnsi="等线(中文正文)" w:cs="等线(中文正文)" w:eastAsia="等线(中文正文)"/>
          <w:b w:val="false"/>
          <w:i w:val="false"/>
          <w:sz w:val="20"/>
        </w:rPr>
        <w:t>发言人1 答：上泰科技今年产量超过45万吨，有30%外协比例；明年预计收回委外比例，产能增长到70到75万吨，跟随率触底回升，业绩明年会大幅提升，预计在20亿以上，对应当前估值为十倍出头，中报业绩和明年的指引均超预期。</w:t>
      </w:r>
    </w:p>
    <w:p>
      <w:r>
        <w:rPr>
          <w:rFonts w:ascii="等线(中文正文)" w:hAnsi="等线(中文正文)" w:cs="等线(中文正文)" w:eastAsia="等线(中文正文)"/>
          <w:b w:val="false"/>
          <w:i w:val="false"/>
          <w:sz w:val="20"/>
        </w:rPr>
        <w:t/>
      </w:r>
    </w:p>
    <w:p>
      <w:pPr>
        <w:pStyle w:val="ab"/>
      </w:pPr>
      <w:r>
        <w:t>发言人1 问：锂电板块中哪些环节和公司明年业绩可能上调？</w:t>
      </w:r>
    </w:p>
    <w:p>
      <w:r>
        <w:rPr>
          <w:rFonts w:ascii="等线(中文正文)" w:hAnsi="等线(中文正文)" w:cs="等线(中文正文)" w:eastAsia="等线(中文正文)"/>
          <w:b w:val="false"/>
          <w:i w:val="false"/>
          <w:sz w:val="20"/>
        </w:rPr>
        <w:t>发言人1 答：多个环节的公司可能会继续上调明年业绩，整体估值在十倍出头。核心看好高景气及格局较好的环节，如赋能、商务车等，以及受益于碳酸锂和加工费上涨的铁底、负极材料等环节。此外，液冷产业链中如金选股份、飞龙股份和伊斯特流水机组等公司在中报中表现出强劲需求和订单推进情况，业绩有望向产业链下游延伸。</w:t>
      </w:r>
    </w:p>
    <w:p>
      <w:r>
        <w:rPr>
          <w:rFonts w:ascii="等线(中文正文)" w:hAnsi="等线(中文正文)" w:cs="等线(中文正文)" w:eastAsia="等线(中文正文)"/>
          <w:b w:val="false"/>
          <w:i w:val="false"/>
          <w:sz w:val="20"/>
        </w:rPr>
        <w:t/>
      </w:r>
    </w:p>
    <w:p>
      <w:pPr>
        <w:pStyle w:val="ab"/>
      </w:pPr>
      <w:r>
        <w:t>发言人1 问：对于锂电板块的整体配置价值和推荐度有何看法？</w:t>
      </w:r>
    </w:p>
    <w:p>
      <w:r>
        <w:rPr>
          <w:rFonts w:ascii="等线(中文正文)" w:hAnsi="等线(中文正文)" w:cs="等线(中文正文)" w:eastAsia="等线(中文正文)"/>
          <w:b w:val="false"/>
          <w:i w:val="false"/>
          <w:sz w:val="20"/>
        </w:rPr>
        <w:t>发言人1 答：我们认为目前锂电板块具有较高的配置价值，尤其看好高景气和格局较好的环节。下半年板块将有多项催化事件，如中报业绩发布会、旺季排产以及电视厂商的供应商大会等，因此对锂电板块给予核心推荐。</w:t>
      </w:r>
    </w:p>
    <w:p>
      <w:r>
        <w:rPr>
          <w:rFonts w:ascii="等线(中文正文)" w:hAnsi="等线(中文正文)" w:cs="等线(中文正文)" w:eastAsia="等线(中文正文)"/>
          <w:b w:val="false"/>
          <w:i w:val="false"/>
          <w:sz w:val="20"/>
        </w:rPr>
        <w:t/>
      </w:r>
    </w:p>
    <w:p>
      <w:pPr>
        <w:pStyle w:val="ab"/>
      </w:pPr>
      <w:r>
        <w:t>发言人1 问：缪SM平台的液冷泵终端客户订单情况如何？公司主力产品及客户分布如何？</w:t>
      </w:r>
    </w:p>
    <w:p>
      <w:r>
        <w:rPr>
          <w:rFonts w:ascii="等线(中文正文)" w:hAnsi="等线(中文正文)" w:cs="等线(中文正文)" w:eastAsia="等线(中文正文)"/>
          <w:b w:val="false"/>
          <w:i w:val="false"/>
          <w:sz w:val="20"/>
        </w:rPr>
        <w:t>发言人1 答：截至报告披露日，缪SM平台的液冷泵终端客户订单超过5万台，其中S平台（200瓦到2000瓦）和M平台（2000瓦到10千瓦）主要针对小功率CDU，L平台（十千瓦以上）主要用于大功率CDU。目前在手订单整体规模预计超过5亿元。小贝目前出货主力是7.5千瓦功率的产品，主要用于in rap CDU中的L平台。谷歌两兆瓦CPU以37千瓦电子泵水分为主，22千瓦电子泵主要用在NV一兆瓦以上CPU。预计公司在谷歌两兆瓦CPU份额达60%，NB 1兆瓦以上CPU份额接近15%。</w:t>
      </w:r>
    </w:p>
    <w:p>
      <w:r>
        <w:rPr>
          <w:rFonts w:ascii="等线(中文正文)" w:hAnsi="等线(中文正文)" w:cs="等线(中文正文)" w:eastAsia="等线(中文正文)"/>
          <w:b w:val="false"/>
          <w:i w:val="false"/>
          <w:sz w:val="20"/>
        </w:rPr>
        <w:t/>
      </w:r>
    </w:p>
    <w:p>
      <w:pPr>
        <w:pStyle w:val="ab"/>
      </w:pPr>
      <w:r>
        <w:t>发言人1 问：飞龙订单体量及对公司影响如何？</w:t>
      </w:r>
    </w:p>
    <w:p>
      <w:r>
        <w:rPr>
          <w:rFonts w:ascii="等线(中文正文)" w:hAnsi="等线(中文正文)" w:cs="等线(中文正文)" w:eastAsia="等线(中文正文)"/>
          <w:b w:val="false"/>
          <w:i w:val="false"/>
          <w:sz w:val="20"/>
        </w:rPr>
        <w:t>发言人1 答：飞龙的订单体量超市场预期，万台大泵表明电子泵技术路径已进入市场批量交付阶段，预计明年年化有望接近30亿。此外，公司目前在谷歌和NV的市场份额有进一步提升空间。</w:t>
      </w:r>
    </w:p>
    <w:p>
      <w:r>
        <w:rPr>
          <w:rFonts w:ascii="等线(中文正文)" w:hAnsi="等线(中文正文)" w:cs="等线(中文正文)" w:eastAsia="等线(中文正文)"/>
          <w:b w:val="false"/>
          <w:i w:val="false"/>
          <w:sz w:val="20"/>
        </w:rPr>
        <w:t/>
      </w:r>
    </w:p>
    <w:p>
      <w:pPr>
        <w:pStyle w:val="ab"/>
      </w:pPr>
      <w:r>
        <w:t>发言人1 问：冰轮环境上半年经营情况如何？</w:t>
      </w:r>
    </w:p>
    <w:p>
      <w:r>
        <w:rPr>
          <w:rFonts w:ascii="等线(中文正文)" w:hAnsi="等线(中文正文)" w:cs="等线(中文正文)" w:eastAsia="等线(中文正文)"/>
          <w:b w:val="false"/>
          <w:i w:val="false"/>
          <w:sz w:val="20"/>
        </w:rPr>
        <w:t>发言人1 答：冰轮环境上半年实现营业收入37亿元，同比增长18%；归母净利润3亿元，同比增长17%。若剔除汇兑损失，实际净利润约3.7亿元，同比增长约40%。数据中心业务上半年确收8亿元，新签订单接近百亿，北美占比80%-90%，澳洲占比7-8%，预计三季度合同负债和业绩会逐步体现。</w:t>
      </w:r>
    </w:p>
    <w:p>
      <w:r>
        <w:rPr>
          <w:rFonts w:ascii="等线(中文正文)" w:hAnsi="等线(中文正文)" w:cs="等线(中文正文)" w:eastAsia="等线(中文正文)"/>
          <w:b w:val="false"/>
          <w:i w:val="false"/>
          <w:sz w:val="20"/>
        </w:rPr>
        <w:t/>
      </w:r>
    </w:p>
    <w:p>
      <w:pPr>
        <w:pStyle w:val="ab"/>
      </w:pPr>
      <w:r>
        <w:t>发言人1 问：公司在美国市场的竞争格局和扩产计划如何？</w:t>
      </w:r>
    </w:p>
    <w:p>
      <w:r>
        <w:rPr>
          <w:rFonts w:ascii="等线(中文正文)" w:hAnsi="等线(中文正文)" w:cs="等线(中文正文)" w:eastAsia="等线(中文正文)"/>
          <w:b w:val="false"/>
          <w:i w:val="false"/>
          <w:sz w:val="20"/>
        </w:rPr>
        <w:t>发言人1 答：北美数据中心市场由特林泰利、江森约克、麦克维尔等几家主导，其中汉布什凭借品牌优势和中美及马来西亚三地制造基地能快速响应客户需求。公司当前北美市占率不足4%，目标两年内翻番，美国租赁厂房预计年底前投产，马来西亚新工厂计划2024年底投产，届时全球产能产值将达到100-120亿元，预计到2027年初整体产值将达到150-200亿元。</w:t>
      </w:r>
    </w:p>
    <w:p>
      <w:r>
        <w:rPr>
          <w:rFonts w:ascii="等线(中文正文)" w:hAnsi="等线(中文正文)" w:cs="等线(中文正文)" w:eastAsia="等线(中文正文)"/>
          <w:b w:val="false"/>
          <w:i w:val="false"/>
          <w:sz w:val="20"/>
        </w:rPr>
        <w:t/>
      </w:r>
    </w:p>
    <w:p>
      <w:pPr>
        <w:pStyle w:val="ab"/>
      </w:pPr>
      <w:r>
        <w:t>发言人1 问：为什么下游和二次侧订单后续也会逐步体现？</w:t>
      </w:r>
    </w:p>
    <w:p>
      <w:r>
        <w:rPr>
          <w:rFonts w:ascii="等线(中文正文)" w:hAnsi="等线(中文正文)" w:cs="等线(中文正文)" w:eastAsia="等线(中文正文)"/>
          <w:b w:val="false"/>
          <w:i w:val="false"/>
          <w:sz w:val="20"/>
        </w:rPr>
        <w:t>发言人1 答：因为液冷供应链传导顺序并非同步，终端客户首先锁定材料、功率器件等关键零部件，而伊斯特等设备交付周期较长，因此上游液冷产品最先可见订单和产能紧张情况。随着服务器方案、机柜设计和数据中心项目节点明确，二次侧CPU、冷板、管路接头等订单才会滚动释放。</w:t>
      </w:r>
    </w:p>
    <w:p>
      <w:r>
        <w:rPr>
          <w:rFonts w:ascii="等线(中文正文)" w:hAnsi="等线(中文正文)" w:cs="等线(中文正文)" w:eastAsia="等线(中文正文)"/>
          <w:b w:val="false"/>
          <w:i w:val="false"/>
          <w:sz w:val="20"/>
        </w:rPr>
        <w:t/>
      </w:r>
    </w:p>
    <w:p>
      <w:pPr>
        <w:pStyle w:val="ab"/>
      </w:pPr>
      <w:r>
        <w:t>发言人1 问：主动液冷技术的发展重要性及对应的投资方向是什么？</w:t>
      </w:r>
    </w:p>
    <w:p>
      <w:r>
        <w:rPr>
          <w:rFonts w:ascii="等线(中文正文)" w:hAnsi="等线(中文正文)" w:cs="等线(中文正文)" w:eastAsia="等线(中文正文)"/>
          <w:b w:val="false"/>
          <w:i w:val="false"/>
          <w:sz w:val="20"/>
        </w:rPr>
        <w:t>发言人1 答：主动液冷技术对于应对未来GPU/ASIC及光伏矿业热流密度提升带来的挑战至关重要，其局部强化换热和材料结构控制需求增加，预示着液冷壁垒正从部件扩产升级为技术平台和系统能力建设。对应的投资方向包括高性能材料、结构件与系统、泵阀控制以及整体投资建议中推荐生态环境冰轮环境，并关注飞龙、大源、美湖包等水泵环节相关公司。</w:t>
      </w:r>
    </w:p>
    <w:p>
      <w:r>
        <w:rPr>
          <w:rFonts w:ascii="等线(中文正文)" w:hAnsi="等线(中文正文)" w:cs="等线(中文正文)" w:eastAsia="等线(中文正文)"/>
          <w:b w:val="false"/>
          <w:i w:val="false"/>
          <w:sz w:val="20"/>
        </w:rPr>
        <w:t/>
      </w:r>
    </w:p>
    <w:p>
      <w:pPr>
        <w:pStyle w:val="ab"/>
      </w:pPr>
      <w:r>
        <w:t>发言人1 问：氢能试点城市群落地情况及资金安排如何？</w:t>
      </w:r>
    </w:p>
    <w:p>
      <w:r>
        <w:rPr>
          <w:rFonts w:ascii="等线(中文正文)" w:hAnsi="等线(中文正文)" w:cs="等线(中文正文)" w:eastAsia="等线(中文正文)"/>
          <w:b w:val="false"/>
          <w:i w:val="false"/>
          <w:sz w:val="20"/>
        </w:rPr>
        <w:t>发言人1 答：本周五大氢能试点城市群正式落地，获得中央80亿元奖励资金支持，试点周期四年，从今年开始实施。资金层面采用以奖代补方式，预拨启动资金，并明确评价结果与奖励挂钩，确保资金兑现量化。后续地方将陆续出台配套政策和实施细节，根据规划，补贴方案可能为1比1比例，从而提升经济性。</w:t>
      </w:r>
    </w:p>
    <w:p>
      <w:r>
        <w:rPr>
          <w:rFonts w:ascii="等线(中文正文)" w:hAnsi="等线(中文正文)" w:cs="等线(中文正文)" w:eastAsia="等线(中文正文)"/>
          <w:b w:val="false"/>
          <w:i w:val="false"/>
          <w:sz w:val="20"/>
        </w:rPr>
        <w:t/>
      </w:r>
    </w:p>
    <w:p>
      <w:pPr>
        <w:pStyle w:val="ab"/>
      </w:pPr>
      <w:r>
        <w:t>发言人1 问：在十四五期间，氢能产业的扩容和应用场景有哪些变化？</w:t>
      </w:r>
    </w:p>
    <w:p>
      <w:r>
        <w:rPr>
          <w:rFonts w:ascii="等线(中文正文)" w:hAnsi="等线(中文正文)" w:cs="等线(中文正文)" w:eastAsia="等线(中文正文)"/>
          <w:b w:val="false"/>
          <w:i w:val="false"/>
          <w:sz w:val="20"/>
        </w:rPr>
        <w:t>发言人1 答：在十四五期间，氢能产业的扩容从以前以交通为主导转变为工业加交通，并且更加注重创新多场景的协同。这次更聚焦于下游应用场景，特别是工业领域和化工领域。此外，这次示范城群的特点是横跨多个城市，旨在打通上游智取端（技术端）和下游应用端，构建起氯氢相关的项目落地实施的整体产业链。</w:t>
      </w:r>
    </w:p>
    <w:p>
      <w:r>
        <w:rPr>
          <w:rFonts w:ascii="等线(中文正文)" w:hAnsi="等线(中文正文)" w:cs="等线(中文正文)" w:eastAsia="等线(中文正文)"/>
          <w:b w:val="false"/>
          <w:i w:val="false"/>
          <w:sz w:val="20"/>
        </w:rPr>
        <w:t/>
      </w:r>
    </w:p>
    <w:p>
      <w:pPr>
        <w:pStyle w:val="ab"/>
      </w:pPr>
      <w:r>
        <w:t>发言人1 问：几个典型的示范城市群有哪些特点？</w:t>
      </w:r>
    </w:p>
    <w:p>
      <w:r>
        <w:rPr>
          <w:rFonts w:ascii="等线(中文正文)" w:hAnsi="等线(中文正文)" w:cs="等线(中文正文)" w:eastAsia="等线(中文正文)"/>
          <w:b w:val="false"/>
          <w:i w:val="false"/>
          <w:sz w:val="20"/>
        </w:rPr>
        <w:t>发言人1 答：黄河集中湾到中原城市群横跨内蒙古、陕西、宁夏、河南、湖北、山西六省区，主要以工业场景为主导，并联动氢燃料电池汽车应用，是氯氢消纳的核心区域。大湾区依托全国最完整的氢能产业链，进行粤港技术场景互补，包括氢气稳定供应及应用，如香港层面的氢气应用及车辆领域。东北及蒙东到长三角地区则实现了资源腹地与制造消费高地跨区域配对，将天然资源项目与长三角的消费需求有效结合，形成应用落地的整体规划。</w:t>
      </w:r>
    </w:p>
    <w:p>
      <w:r>
        <w:rPr>
          <w:rFonts w:ascii="等线(中文正文)" w:hAnsi="等线(中文正文)" w:cs="等线(中文正文)" w:eastAsia="等线(中文正文)"/>
          <w:b w:val="false"/>
          <w:i w:val="false"/>
          <w:sz w:val="20"/>
        </w:rPr>
        <w:t/>
      </w:r>
    </w:p>
    <w:p>
      <w:pPr>
        <w:pStyle w:val="ab"/>
      </w:pPr>
      <w:r>
        <w:t>发言人1 问：关于氢能项目的量化目标有哪些？</w:t>
      </w:r>
    </w:p>
    <w:p>
      <w:r>
        <w:rPr>
          <w:rFonts w:ascii="等线(中文正文)" w:hAnsi="等线(中文正文)" w:cs="等线(中文正文)" w:eastAsia="等线(中文正文)"/>
          <w:b w:val="false"/>
          <w:i w:val="false"/>
          <w:sz w:val="20"/>
        </w:rPr>
        <w:t>发言人1 答：量化目标包括终端用氢价格和燃料电池汽车保有量。到2030年，全国终端用氢均价目标为3000克25块钱以下，风光资源力争降到3000克15块钱，这将倒逼电解槽效率和储运成本下降。燃料电池汽车保有量全球目标为10万辆，较2025年翻一番，其中重卡在价格较低的地方进行矿卡一体化推广，东部城市群推动长途冷链物流场景下的燃料电池重卡应用。氢气用量方面，在15能源规划中提到到2030年日均量级超过200万吨，相较于当前水平有五倍以上的增长空间。</w:t>
      </w:r>
    </w:p>
    <w:p>
      <w:r>
        <w:rPr>
          <w:rFonts w:ascii="等线(中文正文)" w:hAnsi="等线(中文正文)" w:cs="等线(中文正文)" w:eastAsia="等线(中文正文)"/>
          <w:b w:val="false"/>
          <w:i w:val="false"/>
          <w:sz w:val="20"/>
        </w:rPr>
        <w:t/>
      </w:r>
    </w:p>
    <w:p>
      <w:pPr>
        <w:pStyle w:val="ab"/>
      </w:pPr>
      <w:r>
        <w:t>发言人1 问：补贴政策如何影响氢能产业投资建议？</w:t>
      </w:r>
    </w:p>
    <w:p>
      <w:r>
        <w:rPr>
          <w:rFonts w:ascii="等线(中文正文)" w:hAnsi="等线(中文正文)" w:cs="等线(中文正文)" w:eastAsia="等线(中文正文)"/>
          <w:b w:val="false"/>
          <w:i w:val="false"/>
          <w:sz w:val="20"/>
        </w:rPr>
        <w:t>发言人1 答：虽然目前是积分制补贴，但按照绿氢3000块补贴折算，终端滤芯补贴可达6到10块钱左右。如果考虑递补细则落地并按照一比一匹配，滤清终端价格可以接近评价水平，制氢成本约3000克15块钱以下，氯氢项目的经济效益将得到提升。因此，对于地方城市群细则的关注至关重要，一旦落地将加速氯氢项目开工和应用进程。</w:t>
      </w:r>
    </w:p>
    <w:p>
      <w:r>
        <w:rPr>
          <w:rFonts w:ascii="等线(中文正文)" w:hAnsi="等线(中文正文)" w:cs="等线(中文正文)" w:eastAsia="等线(中文正文)"/>
          <w:b w:val="false"/>
          <w:i w:val="false"/>
          <w:sz w:val="20"/>
        </w:rPr>
        <w:t/>
      </w:r>
    </w:p>
    <w:p>
      <w:pPr>
        <w:pStyle w:val="ab"/>
      </w:pPr>
      <w:r>
        <w:t>发言人1 问：对于氢能投资有何具体建议？</w:t>
      </w:r>
    </w:p>
    <w:p>
      <w:r>
        <w:rPr>
          <w:rFonts w:ascii="等线(中文正文)" w:hAnsi="等线(中文正文)" w:cs="等线(中文正文)" w:eastAsia="等线(中文正文)"/>
          <w:b w:val="false"/>
          <w:i w:val="false"/>
          <w:sz w:val="20"/>
        </w:rPr>
        <w:t>发言人1 答：建议关注三条主线：一是关注天安城项目的运营商，尤其是海外业务拓展情况，如嘉德新能、中国天银、中建瑞科和建投绿能；二是聚焦电解槽设备供应商，如华电科工；三是关注燃料电池头部企业，如宇华通重塑能源和不负卿等。此外，风电研究员彭志强将对大金重工的海风业务进行详细介绍。</w:t>
      </w:r>
    </w:p>
    <w:p>
      <w:r>
        <w:rPr>
          <w:rFonts w:ascii="等线(中文正文)" w:hAnsi="等线(中文正文)" w:cs="等线(中文正文)" w:eastAsia="等线(中文正文)"/>
          <w:b w:val="false"/>
          <w:i w:val="false"/>
          <w:sz w:val="20"/>
        </w:rPr>
        <w:t/>
      </w:r>
    </w:p>
    <w:p>
      <w:pPr>
        <w:pStyle w:val="ab"/>
      </w:pPr>
      <w:r>
        <w:t>发言人1 问：对于下半年，公司业绩展望如何？</w:t>
      </w:r>
    </w:p>
    <w:p>
      <w:r>
        <w:rPr>
          <w:rFonts w:ascii="等线(中文正文)" w:hAnsi="等线(中文正文)" w:cs="等线(中文正文)" w:eastAsia="等线(中文正文)"/>
          <w:b w:val="false"/>
          <w:i w:val="false"/>
          <w:sz w:val="20"/>
        </w:rPr>
        <w:t>发言人1 答：我们看好公司下半年业绩实现强劲修复。主要交付包括解决运输船紧张导致的发货地点问题，以及波兰BC项目和德国NC地段的单桩产品。这两个产品已在上半年开始正常生产，并将在本月陆续装船发运。</w:t>
      </w:r>
    </w:p>
    <w:p>
      <w:r>
        <w:rPr>
          <w:rFonts w:ascii="等线(中文正文)" w:hAnsi="等线(中文正文)" w:cs="等线(中文正文)" w:eastAsia="等线(中文正文)"/>
          <w:b w:val="false"/>
          <w:i w:val="false"/>
          <w:sz w:val="20"/>
        </w:rPr>
        <w:t/>
      </w:r>
    </w:p>
    <w:p>
      <w:pPr>
        <w:pStyle w:val="ab"/>
      </w:pPr>
      <w:r>
        <w:t>发言人1 问：全年海外海工发货量预计会如何分布？</w:t>
      </w:r>
    </w:p>
    <w:p>
      <w:r>
        <w:rPr>
          <w:rFonts w:ascii="等线(中文正文)" w:hAnsi="等线(中文正文)" w:cs="等线(中文正文)" w:eastAsia="等线(中文正文)"/>
          <w:b w:val="false"/>
          <w:i w:val="false"/>
          <w:sz w:val="20"/>
        </w:rPr>
        <w:t>发言人1 答：DC项目的交付预计按之前指引进行，而NAC B段项目的交付可能有一半的量会在明年进行。但考虑到今年一季度业绩中有去年四季度发运项目的递延影响，全年海外海工交付规模受此递延的影响幅度较小。</w:t>
      </w:r>
    </w:p>
    <w:p>
      <w:r>
        <w:rPr>
          <w:rFonts w:ascii="等线(中文正文)" w:hAnsi="等线(中文正文)" w:cs="等线(中文正文)" w:eastAsia="等线(中文正文)"/>
          <w:b w:val="false"/>
          <w:i w:val="false"/>
          <w:sz w:val="20"/>
        </w:rPr>
        <w:t/>
      </w:r>
    </w:p>
    <w:p>
      <w:pPr>
        <w:pStyle w:val="ab"/>
      </w:pPr>
      <w:r>
        <w:t>发言人1 问：下半年海外海工盈利能力有何预期？</w:t>
      </w:r>
    </w:p>
    <w:p>
      <w:r>
        <w:rPr>
          <w:rFonts w:ascii="等线(中文正文)" w:hAnsi="等线(中文正文)" w:cs="等线(中文正文)" w:eastAsia="等线(中文正文)"/>
          <w:b w:val="false"/>
          <w:i w:val="false"/>
          <w:sz w:val="20"/>
        </w:rPr>
        <w:t>发言人1 答：随着自由运输船下水和产品结构优化，海外海工盈利能力有很大提升空间。二季度海外海工单吨净利约为5200元每吨，环比持平；单桩净利则提升至7500元每吨，环比有较大提升，这主要归因于二季度部分海外单桩发运时，石油公司的自有运输船带来的单根结提升。</w:t>
      </w:r>
    </w:p>
    <w:p>
      <w:r>
        <w:rPr>
          <w:rFonts w:ascii="等线(中文正文)" w:hAnsi="等线(中文正文)" w:cs="等线(中文正文)" w:eastAsia="等线(中文正文)"/>
          <w:b w:val="false"/>
          <w:i w:val="false"/>
          <w:sz w:val="20"/>
        </w:rPr>
        <w:t/>
      </w:r>
    </w:p>
    <w:p>
      <w:pPr>
        <w:pStyle w:val="ab"/>
      </w:pPr>
      <w:r>
        <w:t>发言人1 问：未来发运计划及对整体单位盈利的影响是什么？</w:t>
      </w:r>
    </w:p>
    <w:p>
      <w:r>
        <w:rPr>
          <w:rFonts w:ascii="等线(中文正文)" w:hAnsi="等线(中文正文)" w:cs="等线(中文正文)" w:eastAsia="等线(中文正文)"/>
          <w:b w:val="false"/>
          <w:i w:val="false"/>
          <w:sz w:val="20"/>
        </w:rPr>
        <w:t>发言人1 答：随着公司第二条和第三条自由运输船在七月份和九月份完成下水并开始承接交付任务，下半年海外海工发运中运输船占比预计将达到50%，从而带来整体单位盈利大幅提升。我们预计公司今年和明年的净利润分别为16亿和25亿元。</w:t>
      </w:r>
    </w:p>
    <w:p>
      <w:r>
        <w:rPr>
          <w:rFonts w:ascii="等线(中文正文)" w:hAnsi="等线(中文正文)" w:cs="等线(中文正文)" w:eastAsia="等线(中文正文)"/>
          <w:b w:val="false"/>
          <w:i w:val="false"/>
          <w:sz w:val="20"/>
        </w:rPr>
        <w:t/>
      </w:r>
    </w:p>
    <w:p>
      <w:pPr>
        <w:pStyle w:val="ab"/>
      </w:pPr>
      <w:r>
        <w:t>发言人1 问：行业层面的基本面情况如何？</w:t>
      </w:r>
    </w:p>
    <w:p>
      <w:r>
        <w:rPr>
          <w:rFonts w:ascii="等线(中文正文)" w:hAnsi="等线(中文正文)" w:cs="等线(中文正文)" w:eastAsia="等线(中文正文)"/>
          <w:b w:val="false"/>
          <w:i w:val="false"/>
          <w:sz w:val="20"/>
        </w:rPr>
        <w:t>发言人1 答：年初以来，受英美战争影响，整个行业的基本面超预期。招标机制改革方面，德国、法国、荷兰等主流市场政府采用转向长期运营、优化规划等方式修复海关项目经济性，提高业主开发意愿。此外，今年欧洲有望完成约40G瓦海风项目拍卖，对应未来1到3年供应链订单释放，表明未来1到2年欧洲海风供应链需求饱满。</w:t>
      </w:r>
    </w:p>
    <w:p>
      <w:r>
        <w:rPr>
          <w:rFonts w:ascii="等线(中文正文)" w:hAnsi="等线(中文正文)" w:cs="等线(中文正文)" w:eastAsia="等线(中文正文)"/>
          <w:b w:val="false"/>
          <w:i w:val="false"/>
          <w:sz w:val="20"/>
        </w:rPr>
        <w:t/>
      </w:r>
    </w:p>
    <w:p>
      <w:pPr>
        <w:pStyle w:val="ab"/>
      </w:pPr>
      <w:r>
        <w:t>发言人1 问：对于欧洲海丰产业链公司的中报电话会议有哪些结论？</w:t>
      </w:r>
    </w:p>
    <w:p>
      <w:r>
        <w:rPr>
          <w:rFonts w:ascii="等线(中文正文)" w:hAnsi="等线(中文正文)" w:cs="等线(中文正文)" w:eastAsia="等线(中文正文)"/>
          <w:b w:val="false"/>
          <w:i w:val="false"/>
          <w:sz w:val="20"/>
        </w:rPr>
        <w:t>发言人1 答：大部分企业预计2027年到2028年将迎来供应链订单明显释放。今年尤其是二季度业绩和上半年订单主要来自短期波动，但从整个中长期欧洲海风产业趋势看非常明确。当前公司估值和机构持仓占比均处于历史低位，因此是积极布局的好时机。</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2026-08-24T01:01:13Z</dcterms:created>
  <dc:creator>Apache POI</dc:creator>
</cp:coreProperties>
</file>