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公牛集团 260823_导读</w:t>
      </w:r>
    </w:p>
    <w:p>
      <w:pPr>
        <w:pStyle w:val="a0"/>
        <w:jc w:val="center"/>
      </w:pPr>
      <w:r>
        <w:t>2026年08月24日 08:57</w:t>
      </w:r>
    </w:p>
    <w:p>
      <w:pPr>
        <w:pStyle w:val="a7"/>
      </w:pPr>
      <w:r>
        <w:t>关键词</w:t>
      </w:r>
    </w:p>
    <w:p>
      <w:r>
        <w:rPr>
          <w:rFonts w:ascii="等线(中文正文)" w:hAnsi="等线(中文正文)" w:cs="等线(中文正文)" w:eastAsia="等线(中文正文)"/>
          <w:b w:val="false"/>
          <w:i w:val="false"/>
          <w:sz w:val="20"/>
        </w:rPr>
        <w:t xml:space="preserve">公牛 收入 净利润 毛利率 智能电工 照明电链接 新能源业务 业绩 股价 渠道力 品牌力 组织与制度 墙壁开关 照明行业 长期主义 配送访销 利益分配 过程考核 公牛集团 照明业务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公牛集团，一家家电企业，在2022年实现160.3亿的收入，净利润达40.7亿，毛利率和净利润率在行业中表现突出。公司业务主要分为智能电工、照明电连接及新能源三大板块，分别占总收入的50.53%、44.16%及5.13%。尽管面临业绩下滑压力，但已展现出企稳迹象，特别是在一季度实现了收入和净利润的增长。股权高度集中，实控人合计控制公司85%的股份，导致自由流通股本较小，流动性受限，但同时也预示着基本面改善时股价的较大弹性。公牛的核心竞争力在于其强大的渠道网络、品牌影响力及稳定的高管团队，为公司长期发展提供了坚实基础。照明业务被视为新的增长点，有望借助健康化、智能化趋势整合市场。此外，公司积极拓展海外市场和新能源领域，以应对国内市场挑战。当前，基于对未来收入和净利润的乐观预期，公牛的估值处于历史低位，股息率较高，建议投资者关注。</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公牛集团业绩分析：从下滑到企稳的转型之路</w:t>
      </w:r>
    </w:p>
    <w:p>
      <w:r>
        <w:rPr>
          <w:rFonts w:ascii="等线(中文正文)" w:hAnsi="等线(中文正文)" w:cs="等线(中文正文)" w:eastAsia="等线(中文正文)"/>
          <w:b w:val="false"/>
          <w:i w:val="false"/>
          <w:sz w:val="20"/>
        </w:rPr>
        <w:t>公牛集团25年业绩双降，收入下滑4.8%，利润下滑4.7%，主要受工商业活跃度下降和竣工装修需求疲软影响。但26年一季度收入增长3.5%，利润增长8.6%，显示业绩企稳迹象，智能电工照明和照明无主灯成为增量来源。</w:t>
      </w:r>
    </w:p>
    <w:p>
      <w:r>
        <w:rPr>
          <w:rFonts w:ascii="等线(中文正文)" w:hAnsi="等线(中文正文)" w:cs="等线(中文正文)" w:eastAsia="等线(中文正文)"/>
          <w:b w:val="false"/>
          <w:i w:val="false"/>
          <w:sz w:val="20"/>
        </w:rPr>
        <w:t/>
      </w:r>
    </w:p>
    <w:p>
      <w:pPr>
        <w:pStyle w:val="ab"/>
        <w:numPr>
          <w:numId w:val="2"/>
        </w:numPr>
      </w:pPr>
      <w:r>
        <w:t>01:41 公牛集团：股权结构、管理层稳定性及核心竞争力分析</w:t>
      </w:r>
    </w:p>
    <w:p>
      <w:r>
        <w:rPr>
          <w:rFonts w:ascii="等线(中文正文)" w:hAnsi="等线(中文正文)" w:cs="等线(中文正文)" w:eastAsia="等线(中文正文)"/>
          <w:b w:val="false"/>
          <w:i w:val="false"/>
          <w:sz w:val="20"/>
        </w:rPr>
        <w:t>对话详细分析了公牛集团的股权结构，指出控股股东持股比例高，自由流通股本占比小，存在流动性折价但筹码稀缺利于股价弹性。管理层团队稳定，自上市以来股价表现受业绩驱动，估值已降至历史低位。公司核心竞争力包括渠道力、品牌力及组织与制度，未来基本面拐点可能带来较大股价回报。</w:t>
      </w:r>
    </w:p>
    <w:p>
      <w:r>
        <w:rPr>
          <w:rFonts w:ascii="等线(中文正文)" w:hAnsi="等线(中文正文)" w:cs="等线(中文正文)" w:eastAsia="等线(中文正文)"/>
          <w:b w:val="false"/>
          <w:i w:val="false"/>
          <w:sz w:val="20"/>
        </w:rPr>
        <w:t/>
      </w:r>
    </w:p>
    <w:p>
      <w:pPr>
        <w:pStyle w:val="ab"/>
        <w:numPr>
          <w:numId w:val="3"/>
        </w:numPr>
      </w:pPr>
      <w:r>
        <w:t>05:07 公牛集团的渠道力、品牌力与制度护城河</w:t>
      </w:r>
    </w:p>
    <w:p>
      <w:r>
        <w:rPr>
          <w:rFonts w:ascii="等线(中文正文)" w:hAnsi="等线(中文正文)" w:cs="等线(中文正文)" w:eastAsia="等线(中文正文)"/>
          <w:b w:val="false"/>
          <w:i w:val="false"/>
          <w:sz w:val="20"/>
        </w:rPr>
        <w:t>公牛集团通过高密度的线下经销网络、配送访销模式和利益分配策略构建了强大的渠道力。品牌力方面，公牛绑定消费者安全心智，品牌资产独立于渠道，电商渠道份额甚至高于线下。制度层面，创始人亲自经营，注重过程考核，价格管控严格，形成难以复制的竞争优势。</w:t>
      </w:r>
    </w:p>
    <w:p>
      <w:r>
        <w:rPr>
          <w:rFonts w:ascii="等线(中文正文)" w:hAnsi="等线(中文正文)" w:cs="等线(中文正文)" w:eastAsia="等线(中文正文)"/>
          <w:b w:val="false"/>
          <w:i w:val="false"/>
          <w:sz w:val="20"/>
        </w:rPr>
        <w:t/>
      </w:r>
    </w:p>
    <w:p>
      <w:pPr>
        <w:pStyle w:val="ab"/>
        <w:numPr>
          <w:numId w:val="4"/>
        </w:numPr>
      </w:pPr>
      <w:r>
        <w:t>08:36 公牛集团跨行业拓展的底层逻辑与照明行业布局</w:t>
      </w:r>
    </w:p>
    <w:p>
      <w:r>
        <w:rPr>
          <w:rFonts w:ascii="等线(中文正文)" w:hAnsi="等线(中文正文)" w:cs="等线(中文正文)" w:eastAsia="等线(中文正文)"/>
          <w:b w:val="false"/>
          <w:i w:val="false"/>
          <w:sz w:val="20"/>
        </w:rPr>
        <w:t>对话探讨了公牛集团选择新行业进入的三大底层逻辑：无强势品牌、产品创新空间及渠道优势。以墙壁开关业务为例，阐述了公牛如何通过长期主义策略，从零到行业第一的八年历程。当前，公牛正主攻照明行业，该行业虽大且分散，但符合公牛的进入标准，且有渠道可复用。尽管照明行业门槛低、品牌意识弱，但公牛凭借墙壁开关的成功经验，正逐步整合市场。</w:t>
      </w:r>
    </w:p>
    <w:p>
      <w:r>
        <w:rPr>
          <w:rFonts w:ascii="等线(中文正文)" w:hAnsi="等线(中文正文)" w:cs="等线(中文正文)" w:eastAsia="等线(中文正文)"/>
          <w:b w:val="false"/>
          <w:i w:val="false"/>
          <w:sz w:val="20"/>
        </w:rPr>
        <w:t/>
      </w:r>
    </w:p>
    <w:p>
      <w:pPr>
        <w:pStyle w:val="ab"/>
        <w:numPr>
          <w:numId w:val="5"/>
        </w:numPr>
      </w:pPr>
      <w:r>
        <w:t>11:45 公牛照明业务与出海战略分析</w:t>
      </w:r>
    </w:p>
    <w:p>
      <w:r>
        <w:rPr>
          <w:rFonts w:ascii="等线(中文正文)" w:hAnsi="等线(中文正文)" w:cs="等线(中文正文)" w:eastAsia="等线(中文正文)"/>
          <w:b w:val="false"/>
          <w:i w:val="false"/>
          <w:sz w:val="20"/>
        </w:rPr>
        <w:t>公牛照明业务通过双品牌战略覆盖大众与高端市场，预计30年份额提升至6%，带来66亿市场空间。同时，公司积极布局海外市场，25年覆盖20多个国家，目标五年内成为当地开关品类第一，带动全品类出海，26年计划覆盖国家数量翻倍。</w:t>
      </w:r>
    </w:p>
    <w:p>
      <w:r>
        <w:rPr>
          <w:rFonts w:ascii="等线(中文正文)" w:hAnsi="等线(中文正文)" w:cs="等线(中文正文)" w:eastAsia="等线(中文正文)"/>
          <w:b w:val="false"/>
          <w:i w:val="false"/>
          <w:sz w:val="20"/>
        </w:rPr>
        <w:t/>
      </w:r>
    </w:p>
    <w:p>
      <w:pPr>
        <w:pStyle w:val="ab"/>
        <w:numPr>
          <w:numId w:val="6"/>
        </w:numPr>
      </w:pPr>
      <w:r>
        <w:t>15:18 公牛集团新能源与基本盘发展策略及盈利预测</w:t>
      </w:r>
    </w:p>
    <w:p>
      <w:r>
        <w:rPr>
          <w:rFonts w:ascii="等线(中文正文)" w:hAnsi="等线(中文正文)" w:cs="等线(中文正文)" w:eastAsia="等线(中文正文)"/>
          <w:b w:val="false"/>
          <w:i w:val="false"/>
          <w:sz w:val="20"/>
        </w:rPr>
        <w:t>公牛集团前瞻布局新能源市场，2025年重卡充电需求增长，推出高效产品；海外储能市场表现良好，渠道与产品创新显著。基本盘稳固，国内市占率提升，智能开关推广加速。预计2026至2028年收入与利润稳定增长，当前估值处于低位，建议投资者关注。</w:t>
      </w:r>
    </w:p>
    <w:p>
      <w:r>
        <w:rPr>
          <w:rFonts w:ascii="等线(中文正文)" w:hAnsi="等线(中文正文)" w:cs="等线(中文正文)" w:eastAsia="等线(中文正文)"/>
          <w:b w:val="false"/>
          <w:i w:val="false"/>
          <w:sz w:val="20"/>
        </w:rPr>
        <w:t/>
      </w:r>
    </w:p>
    <w:p>
      <w:pPr>
        <w:pStyle w:val="a7"/>
      </w:pPr>
      <w:r>
        <w:t>发言总结</w:t>
      </w:r>
    </w:p>
    <w:p>
      <w:pPr>
        <w:pStyle w:val="ab"/>
        <w:numPr>
          <w:numId w:val="7"/>
        </w:numPr>
      </w:pPr>
      <w:r>
        <w:t>发言人1</w:t>
      </w:r>
    </w:p>
    <w:p>
      <w:r>
        <w:rPr>
          <w:rFonts w:ascii="等线(中文正文)" w:hAnsi="等线(中文正文)" w:cs="等线(中文正文)" w:eastAsia="等线(中文正文)"/>
          <w:b w:val="false"/>
          <w:i w:val="false"/>
          <w:sz w:val="20"/>
        </w:rPr>
        <w:t>他对公牛集团进行了全面汇报，指出其过去25年实现160.3亿总收入与40.7亿净利润，展现强大盈利能力，毛利率和净利润率分别达43%和25.4%，在家电板块名列前茅。集团业务结构中，智能电工、照明电链接及新能源三大块占比分别为50.53%、44.16%和5.13%。面对收入和利润双降挑战，通过策略调整，26年一季度业绩企稳，恢复正增长趋势。公牛核心竞争力源于其渠道力、品牌力、组织与制度优势，以及在照明和新能源领域的布局。他还分享了公牛的盈利预测和估值情况，强调当前投资吸引力，建议投资者关注。</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问：公牛集团目前的主要业务板块有哪些？</w:t>
      </w:r>
    </w:p>
    <w:p>
      <w:r>
        <w:rPr>
          <w:rFonts w:ascii="等线(中文正文)" w:hAnsi="等线(中文正文)" w:cs="等线(中文正文)" w:eastAsia="等线(中文正文)"/>
          <w:b w:val="false"/>
          <w:i w:val="false"/>
          <w:sz w:val="20"/>
        </w:rPr>
        <w:t>发言人1 答：公牛集团目前业务主要分为三大块：智能电工、照明电链接及新能源业务，分别占比50.53%、44.16%和5.13%。核心品类包括插座、墙壁开关、照明产品以及新能源新产品。其中，电链接业务中的插座转换器与工商业活跃度强相关，是25年业绩压力较大的板块；智能电工照明业务则以稳定提升为主盘，而照明的无主灯和智能家居生态品类是增量来源。</w:t>
      </w:r>
    </w:p>
    <w:p>
      <w:r>
        <w:rPr>
          <w:rFonts w:ascii="等线(中文正文)" w:hAnsi="等线(中文正文)" w:cs="等线(中文正文)" w:eastAsia="等线(中文正文)"/>
          <w:b w:val="false"/>
          <w:i w:val="false"/>
          <w:sz w:val="20"/>
        </w:rPr>
        <w:t/>
      </w:r>
    </w:p>
    <w:p>
      <w:pPr>
        <w:pStyle w:val="ab"/>
      </w:pPr>
      <w:r>
        <w:t>发言人1 问：公牛集团最近几年的业绩情况如何？</w:t>
      </w:r>
    </w:p>
    <w:p>
      <w:r>
        <w:rPr>
          <w:rFonts w:ascii="等线(中文正文)" w:hAnsi="等线(中文正文)" w:cs="等线(中文正文)" w:eastAsia="等线(中文正文)"/>
          <w:b w:val="false"/>
          <w:i w:val="false"/>
          <w:sz w:val="20"/>
        </w:rPr>
        <w:t>发言人1 答：自上市以来，公牛集团整体业绩相对稳定。2020年至2023年，收入从100亿增长到150亿，实现了四年复合增长率16%。但在2025年，由于强开照明受到竣工和装修需求拖累以及转换器业务受到工商业活跃度下降的影响，收入和利润均出现了下滑，这是公司上市以来首次出现双降情况。</w:t>
      </w:r>
    </w:p>
    <w:p>
      <w:r>
        <w:rPr>
          <w:rFonts w:ascii="等线(中文正文)" w:hAnsi="等线(中文正文)" w:cs="等线(中文正文)" w:eastAsia="等线(中文正文)"/>
          <w:b w:val="false"/>
          <w:i w:val="false"/>
          <w:sz w:val="20"/>
        </w:rPr>
        <w:t/>
      </w:r>
    </w:p>
    <w:p>
      <w:pPr>
        <w:pStyle w:val="ab"/>
      </w:pPr>
      <w:r>
        <w:t>发言人1 问：公牛集团的股权结构是怎样的？</w:t>
      </w:r>
    </w:p>
    <w:p>
      <w:r>
        <w:rPr>
          <w:rFonts w:ascii="等线(中文正文)" w:hAnsi="等线(中文正文)" w:cs="等线(中文正文)" w:eastAsia="等线(中文正文)"/>
          <w:b w:val="false"/>
          <w:i w:val="false"/>
          <w:sz w:val="20"/>
        </w:rPr>
        <w:t>发言人1 答：截至今年一季度末，阮丽萍、阮学平兄弟通过控股股东宁波良机实业持股53%，加上两人个人直接持股及共同控制的凝晖投资股份，合计控制公司85%的股份。员工持股平台资源投资持有0.68%股份，这意味着公司自由流通股本约为2.61亿股，占总股本的14.4%，自由流通市值大约100亿左右。</w:t>
      </w:r>
    </w:p>
    <w:p>
      <w:r>
        <w:rPr>
          <w:rFonts w:ascii="等线(中文正文)" w:hAnsi="等线(中文正文)" w:cs="等线(中文正文)" w:eastAsia="等线(中文正文)"/>
          <w:b w:val="false"/>
          <w:i w:val="false"/>
          <w:sz w:val="20"/>
        </w:rPr>
        <w:t/>
      </w:r>
    </w:p>
    <w:p>
      <w:pPr>
        <w:pStyle w:val="ab"/>
      </w:pPr>
      <w:r>
        <w:t>发言人1 问：公牛集团管理层的情况如何？</w:t>
      </w:r>
    </w:p>
    <w:p>
      <w:r>
        <w:rPr>
          <w:rFonts w:ascii="等线(中文正文)" w:hAnsi="等线(中文正文)" w:cs="等线(中文正文)" w:eastAsia="等线(中文正文)"/>
          <w:b w:val="false"/>
          <w:i w:val="false"/>
          <w:sz w:val="20"/>
        </w:rPr>
        <w:t>发言人1 答：创始人阮丽萍于1964年出生，武汉水利电力大学毕业，现任新任董事长兼总裁，其弟阮学时担任副董事长，核心高管近十年未有变动，团队较为稳定。</w:t>
      </w:r>
    </w:p>
    <w:p>
      <w:r>
        <w:rPr>
          <w:rFonts w:ascii="等线(中文正文)" w:hAnsi="等线(中文正文)" w:cs="等线(中文正文)" w:eastAsia="等线(中文正文)"/>
          <w:b w:val="false"/>
          <w:i w:val="false"/>
          <w:sz w:val="20"/>
        </w:rPr>
        <w:t/>
      </w:r>
    </w:p>
    <w:p>
      <w:pPr>
        <w:pStyle w:val="ab"/>
      </w:pPr>
      <w:r>
        <w:t>发言人1 问：公牛上市以来股价表现如何？</w:t>
      </w:r>
    </w:p>
    <w:p>
      <w:r>
        <w:rPr>
          <w:rFonts w:ascii="等线(中文正文)" w:hAnsi="等线(中文正文)" w:cs="等线(中文正文)" w:eastAsia="等线(中文正文)"/>
          <w:b w:val="false"/>
          <w:i w:val="false"/>
          <w:sz w:val="20"/>
        </w:rPr>
        <w:t>发言人1 答：公牛上市六年以来，股价累计上涨约70%，跑赢上证指数33个百分点。但从21年1月高点至今，股价下跌46%。估值方面，从上市初期的72倍一路压缩至目前的17倍，主要是业绩增长消化了上市初期的估值泡沫。股价可以分为五个阶段，经历了流动性和抱团行情的一涨一杀，以及业绩驱动的杀估值和基本面驱动的下跌。</w:t>
      </w:r>
    </w:p>
    <w:p>
      <w:r>
        <w:rPr>
          <w:rFonts w:ascii="等线(中文正文)" w:hAnsi="等线(中文正文)" w:cs="等线(中文正文)" w:eastAsia="等线(中文正文)"/>
          <w:b w:val="false"/>
          <w:i w:val="false"/>
          <w:sz w:val="20"/>
        </w:rPr>
        <w:t/>
      </w:r>
    </w:p>
    <w:p>
      <w:pPr>
        <w:pStyle w:val="ab"/>
      </w:pPr>
      <w:r>
        <w:t>发言人1 问：公牛的核心竞争力有哪些？</w:t>
      </w:r>
    </w:p>
    <w:p>
      <w:r>
        <w:rPr>
          <w:rFonts w:ascii="等线(中文正文)" w:hAnsi="等线(中文正文)" w:cs="等线(中文正文)" w:eastAsia="等线(中文正文)"/>
          <w:b w:val="false"/>
          <w:i w:val="false"/>
          <w:sz w:val="20"/>
        </w:rPr>
        <w:t>发言人1 答：公牛的核心竞争力体现在三个方面：渠道力、品牌力以及组织与制度。渠道力方面，公牛采用线下经销为主导的渠道架构，拥有超过110万家终端网点，网点密度极高，形成配送访销模式和利益分配机制，确保渠道优势明显。</w:t>
      </w:r>
    </w:p>
    <w:p>
      <w:r>
        <w:rPr>
          <w:rFonts w:ascii="等线(中文正文)" w:hAnsi="等线(中文正文)" w:cs="等线(中文正文)" w:eastAsia="等线(中文正文)"/>
          <w:b w:val="false"/>
          <w:i w:val="false"/>
          <w:sz w:val="20"/>
        </w:rPr>
        <w:t/>
      </w:r>
    </w:p>
    <w:p>
      <w:pPr>
        <w:pStyle w:val="ab"/>
      </w:pPr>
      <w:r>
        <w:t>发言人1 问：为什么竞争对手无法复制公牛的配送房价模式？</w:t>
      </w:r>
    </w:p>
    <w:p>
      <w:r>
        <w:rPr>
          <w:rFonts w:ascii="等线(中文正文)" w:hAnsi="等线(中文正文)" w:cs="等线(中文正文)" w:eastAsia="等线(中文正文)"/>
          <w:b w:val="false"/>
          <w:i w:val="false"/>
          <w:sz w:val="20"/>
        </w:rPr>
        <w:t>发言人1 答：配送房价模式要想成功运作，网点密度必须足够高以摊平单人单车的成本。而竞争对手想要复制这一模式，至少需要达到公牛销售额的三分之一，但当时行业规模只有公牛的25分之1，单个经销商年毛利仅一二十万，无法维持业务团队运营，这是该模式十几年来未被复制的主要原因。</w:t>
      </w:r>
    </w:p>
    <w:p>
      <w:r>
        <w:rPr>
          <w:rFonts w:ascii="等线(中文正文)" w:hAnsi="等线(中文正文)" w:cs="等线(中文正文)" w:eastAsia="等线(中文正文)"/>
          <w:b w:val="false"/>
          <w:i w:val="false"/>
          <w:sz w:val="20"/>
        </w:rPr>
        <w:t/>
      </w:r>
    </w:p>
    <w:p>
      <w:pPr>
        <w:pStyle w:val="ab"/>
      </w:pPr>
      <w:r>
        <w:t>发言人1 问：公牛品牌的护城河体现在哪些方面？</w:t>
      </w:r>
    </w:p>
    <w:p>
      <w:r>
        <w:rPr>
          <w:rFonts w:ascii="等线(中文正文)" w:hAnsi="等线(中文正文)" w:cs="等线(中文正文)" w:eastAsia="等线(中文正文)"/>
          <w:b w:val="false"/>
          <w:i w:val="false"/>
          <w:sz w:val="20"/>
        </w:rPr>
        <w:t>发言人1 答：公牛品牌的护城河主要体现在三个方面：首先，品牌力极强，特别是在消费者对安全高度敏感且对价格相对不敏感的转换器品类中，公牛成功绑定“安全”心智，并通过线下数十万门店的零成本曝光持续强化品牌资产；其次，品牌资产能够脱离线下渠道独立变现，电商渠道份额甚至高于线下，显示出品牌独立价值；最后，以制度为护城河的核心，公司采用民企制度，创始人持股85%且亲自经营，注重过程考核，拥有高效的防串货机制和督查团队，这种体制优势是外资、内资及小米杂牌等竞争者难以复制的。</w:t>
      </w:r>
    </w:p>
    <w:p>
      <w:r>
        <w:rPr>
          <w:rFonts w:ascii="等线(中文正文)" w:hAnsi="等线(中文正文)" w:cs="等线(中文正文)" w:eastAsia="等线(中文正文)"/>
          <w:b w:val="false"/>
          <w:i w:val="false"/>
          <w:sz w:val="20"/>
        </w:rPr>
        <w:t/>
      </w:r>
    </w:p>
    <w:p>
      <w:pPr>
        <w:pStyle w:val="ab"/>
      </w:pPr>
      <w:r>
        <w:t>发言人1 问：公牛选择进入新行业的底层逻辑是什么？</w:t>
      </w:r>
    </w:p>
    <w:p>
      <w:r>
        <w:rPr>
          <w:rFonts w:ascii="等线(中文正文)" w:hAnsi="等线(中文正文)" w:cs="等线(中文正文)" w:eastAsia="等线(中文正文)"/>
          <w:b w:val="false"/>
          <w:i w:val="false"/>
          <w:sz w:val="20"/>
        </w:rPr>
        <w:t>发言人1 答：公牛选择进入新行业的底层逻辑包括三个条件：行业内没有份额超过20%的强势品牌；存在产品创新空间；能够借助原有渠道优势。例如，在墙壁开关业务上的拓展，是基于转换器主业增长受限以及看到地产行业上行周期中的机会，通过剥离原有渠道并重新构建，最终实现市场份额从零到约40%的突破。</w:t>
      </w:r>
    </w:p>
    <w:p>
      <w:r>
        <w:rPr>
          <w:rFonts w:ascii="等线(中文正文)" w:hAnsi="等线(中文正文)" w:cs="等线(中文正文)" w:eastAsia="等线(中文正文)"/>
          <w:b w:val="false"/>
          <w:i w:val="false"/>
          <w:sz w:val="20"/>
        </w:rPr>
        <w:t/>
      </w:r>
    </w:p>
    <w:p>
      <w:pPr>
        <w:pStyle w:val="ab"/>
      </w:pPr>
      <w:r>
        <w:t>发言人1 问：公牛照明业务的发展现状和未来空间如何？</w:t>
      </w:r>
    </w:p>
    <w:p>
      <w:r>
        <w:rPr>
          <w:rFonts w:ascii="等线(中文正文)" w:hAnsi="等线(中文正文)" w:cs="等线(中文正文)" w:eastAsia="等线(中文正文)"/>
          <w:b w:val="false"/>
          <w:i w:val="false"/>
          <w:sz w:val="20"/>
        </w:rPr>
        <w:t>发言人1 答：公牛照明业务目前在国内市场容量约1000亿元的家居照明行业中，市场份额较小，但行业正从照亮向健康智能转变，带来了技术门槛、价格带提升和整合市场的可能性。公牛采取双品牌战略，其中公牛品牌主打性价比路线，目标群体为存量替换、简装及出租房；而新品牌则定位高端智能健康照明，通过专卖店展厅和设计师推荐模式拓展市场。考虑到行业发展趋势和技术、渠道优势，预计公牛照明业务有较大发展空间，从市场份额和网点角度测算，潜在空间可达50亿左右。</w:t>
      </w:r>
    </w:p>
    <w:p>
      <w:r>
        <w:rPr>
          <w:rFonts w:ascii="等线(中文正文)" w:hAnsi="等线(中文正文)" w:cs="等线(中文正文)" w:eastAsia="等线(中文正文)"/>
          <w:b w:val="false"/>
          <w:i w:val="false"/>
          <w:sz w:val="20"/>
        </w:rPr>
        <w:t/>
      </w:r>
    </w:p>
    <w:p>
      <w:pPr>
        <w:pStyle w:val="ab"/>
      </w:pPr>
      <w:r>
        <w:t>发言人1 问：公牛集团在海外市场的布局情况如何？</w:t>
      </w:r>
    </w:p>
    <w:p>
      <w:r>
        <w:rPr>
          <w:rFonts w:ascii="等线(中文正文)" w:hAnsi="等线(中文正文)" w:cs="等线(中文正文)" w:eastAsia="等线(中文正文)"/>
          <w:b w:val="false"/>
          <w:i w:val="false"/>
          <w:sz w:val="20"/>
        </w:rPr>
        <w:t>发言人1 答：公牛集团从2024年下半年开始系统性布局海外市场，2025年是其出海的第一年，已进入二十多个国家并开发了二十多个新客户，整体增速达到12%，其中自主品牌增速更快。模式上采用小国大商策略，并在一国一策的基础上寻找具备电工行业经验和多渠道资源的大代理进行产品共创，推出高中低三套产品线，完成模具开发后铺渠道并建立与国内一致的渠道体系和利润分配逻辑。</w:t>
      </w:r>
    </w:p>
    <w:p>
      <w:r>
        <w:rPr>
          <w:rFonts w:ascii="等线(中文正文)" w:hAnsi="等线(中文正文)" w:cs="等线(中文正文)" w:eastAsia="等线(中文正文)"/>
          <w:b w:val="false"/>
          <w:i w:val="false"/>
          <w:sz w:val="20"/>
        </w:rPr>
        <w:t/>
      </w:r>
    </w:p>
    <w:p>
      <w:pPr>
        <w:pStyle w:val="ab"/>
      </w:pPr>
      <w:r>
        <w:t>发言人1 问：公牛集团在海外市场的目标是什么？</w:t>
      </w:r>
    </w:p>
    <w:p>
      <w:r>
        <w:rPr>
          <w:rFonts w:ascii="等线(中文正文)" w:hAnsi="等线(中文正文)" w:cs="等线(中文正文)" w:eastAsia="等线(中文正文)"/>
          <w:b w:val="false"/>
          <w:i w:val="false"/>
          <w:sz w:val="20"/>
        </w:rPr>
        <w:t>发言人1 答：公牛集团在海外市场设定的目标是单个市场用五年时间做到开关品类第一，利用国内经验作为背书，预计落地周期将大幅缩短。开关产品打开市场后将带动照明、电动工具等全品类出海，并计划在2026年将海外覆盖国家数量翻一番。</w:t>
      </w:r>
    </w:p>
    <w:p>
      <w:r>
        <w:rPr>
          <w:rFonts w:ascii="等线(中文正文)" w:hAnsi="等线(中文正文)" w:cs="等线(中文正文)" w:eastAsia="等线(中文正文)"/>
          <w:b w:val="false"/>
          <w:i w:val="false"/>
          <w:sz w:val="20"/>
        </w:rPr>
        <w:t/>
      </w:r>
    </w:p>
    <w:p>
      <w:pPr>
        <w:pStyle w:val="ab"/>
      </w:pPr>
      <w:r>
        <w:t>发言人1 问：公司在新能源领域的布局及成果如何？</w:t>
      </w:r>
    </w:p>
    <w:p>
      <w:r>
        <w:rPr>
          <w:rFonts w:ascii="等线(中文正文)" w:hAnsi="等线(中文正文)" w:cs="等线(中文正文)" w:eastAsia="等线(中文正文)"/>
          <w:b w:val="false"/>
          <w:i w:val="false"/>
          <w:sz w:val="20"/>
        </w:rPr>
        <w:t>发言人1 答：在国内，2025年新能源行业出现结构性变化，公司在重卡、物流、用车、港口等专业领域的充电需求增长趋势下，从2025年起前瞻性布局，将C端优势延伸至B端。2026年5月，公司发布了首款一级能效重卡充电产品，商用大功率产品线增速良好，有助于对冲CNI下滑。在国外，2026年3月在米兰展预售推出了第三代全系列储能产品，功率段覆盖6至150千瓦，电池容量10至96度，预售阶段就吸引了数百个意向客户。</w:t>
      </w:r>
    </w:p>
    <w:p>
      <w:r>
        <w:rPr>
          <w:rFonts w:ascii="等线(中文正文)" w:hAnsi="等线(中文正文)" w:cs="等线(中文正文)" w:eastAsia="等线(中文正文)"/>
          <w:b w:val="false"/>
          <w:i w:val="false"/>
          <w:sz w:val="20"/>
        </w:rPr>
        <w:t/>
      </w:r>
    </w:p>
    <w:p>
      <w:pPr>
        <w:pStyle w:val="ab"/>
      </w:pPr>
      <w:r>
        <w:t>发言人1 问：公牛集团在开关插座领域的市场表现如何？</w:t>
      </w:r>
    </w:p>
    <w:p>
      <w:r>
        <w:rPr>
          <w:rFonts w:ascii="等线(中文正文)" w:hAnsi="等线(中文正文)" w:cs="等线(中文正文)" w:eastAsia="等线(中文正文)"/>
          <w:b w:val="false"/>
          <w:i w:val="false"/>
          <w:sz w:val="20"/>
        </w:rPr>
        <w:t>发言人1 答：公牛集团在国内墙壁开关市场的市占率约为40%，线上接近50%，且外资品牌正快速退出市场。公司通过整合白牌、升级产品线和推广智能开关等方式，量价结构逐步改善，量增速度超过收入增速，价格趋于稳定并有所上升。此外，嵌入式插座开关照明等新品类也已布局并开始快速增长。</w:t>
      </w:r>
    </w:p>
    <w:p>
      <w:r>
        <w:rPr>
          <w:rFonts w:ascii="等线(中文正文)" w:hAnsi="等线(中文正文)" w:cs="等线(中文正文)" w:eastAsia="等线(中文正文)"/>
          <w:b w:val="false"/>
          <w:i w:val="false"/>
          <w:sz w:val="20"/>
        </w:rPr>
        <w:t/>
      </w:r>
    </w:p>
    <w:p>
      <w:pPr>
        <w:pStyle w:val="ab"/>
      </w:pPr>
      <w:r>
        <w:t>发言人1 问：对于公牛集团未来的盈利预测是怎样的？</w:t>
      </w:r>
    </w:p>
    <w:p>
      <w:r>
        <w:rPr>
          <w:rFonts w:ascii="等线(中文正文)" w:hAnsi="等线(中文正文)" w:cs="等线(中文正文)" w:eastAsia="等线(中文正文)"/>
          <w:b w:val="false"/>
          <w:i w:val="false"/>
          <w:sz w:val="20"/>
        </w:rPr>
        <w:t>发言人1 答：预计公牛集团2026年至2028年的收入分别为169.1亿、179.74亿和191.06亿，同比增长5.5%、6.3%和6.3%；归母净利润分别为42.95亿、45.79亿和49.04亿，同比增长5.5%、6.6%和7.1%。目前现价对应的估值大约在16、15和14倍，处于上市以来估值较低分位，同时拥有较高的股息率（约4.8%），具备充足的安全边际，建议投资者重点关注。</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2026-08-24T01:01:20Z</dcterms:created>
  <dc:creator>Apache POI</dc:creator>
</cp:coreProperties>
</file>