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景旺电子交流 260823_导读</w:t>
      </w:r>
    </w:p>
    <w:p>
      <w:pPr>
        <w:pStyle w:val="a0"/>
        <w:jc w:val="center"/>
      </w:pPr>
      <w:r>
        <w:t>2026年08月24日 08:57</w:t>
      </w:r>
    </w:p>
    <w:p>
      <w:pPr>
        <w:pStyle w:val="a7"/>
      </w:pPr>
      <w:r>
        <w:t>关键词</w:t>
      </w:r>
    </w:p>
    <w:p>
      <w:r>
        <w:rPr>
          <w:rFonts w:ascii="等线(中文正文)" w:hAnsi="等线(中文正文)" w:cs="等线(中文正文)" w:eastAsia="等线(中文正文)"/>
          <w:b w:val="false"/>
          <w:i w:val="false"/>
          <w:sz w:val="20"/>
        </w:rPr>
        <w:t xml:space="preserve">景旺电子 营业收入 归母净利润 汇兑损失 汽车电子 AI服务器 PCB 光模块 金湾基地 高多层 HDI 产能建设 交换机 AI算力 PDFV 马酒Q布 良率 竞争格局 NPO 毛利水平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2026年半年度业绩交流会上，公司领导层详细介绍了经营状况、未来发展规划及产品结构调整，特别关注于汽车电子、通信与数据中心基础设施、AI算力基础设施领域的发展。会议强调了汇率波动对净利润的影响，以及公司如何有效应对原材料价格波动、优化产能与技术升级。领导层展现了对公司业绩增长的信心，并针对投资者与分析师的提问，包括订单情况、产能释放、技术进展与材料成本等问题进行了回应。整体而言，公司展示了在高端PCB制造领域的竞争优势与成长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景旺电子2026年上半年业绩及未来规划</w:t>
      </w:r>
    </w:p>
    <w:p>
      <w:r>
        <w:rPr>
          <w:rFonts w:ascii="等线(中文正文)" w:hAnsi="等线(中文正文)" w:cs="等线(中文正文)" w:eastAsia="等线(中文正文)"/>
          <w:b w:val="false"/>
          <w:i w:val="false"/>
          <w:sz w:val="20"/>
        </w:rPr>
        <w:t>景旺电子2026年上半年实现营收86.11亿元，同比增长21.37%，归母净利润6.02亿元，受汇兑损失影响同比下降7.38%。二季度营收47.20亿元，净利润3.69亿元，同比增长13.61%，环比增长58.55%。公司主营硬板与原版，汽车电子业务占45%，并分享了未来发展计划。</w:t>
      </w:r>
    </w:p>
    <w:p>
      <w:r>
        <w:rPr>
          <w:rFonts w:ascii="等线(中文正文)" w:hAnsi="等线(中文正文)" w:cs="等线(中文正文)" w:eastAsia="等线(中文正文)"/>
          <w:b w:val="false"/>
          <w:i w:val="false"/>
          <w:sz w:val="20"/>
        </w:rPr>
        <w:t/>
      </w:r>
    </w:p>
    <w:p>
      <w:pPr>
        <w:pStyle w:val="ab"/>
        <w:numPr>
          <w:numId w:val="2"/>
        </w:numPr>
      </w:pPr>
      <w:r>
        <w:t>02:40 公司业绩修复与AI算力领域扩张</w:t>
      </w:r>
    </w:p>
    <w:p>
      <w:r>
        <w:rPr>
          <w:rFonts w:ascii="等线(中文正文)" w:hAnsi="等线(中文正文)" w:cs="等线(中文正文)" w:eastAsia="等线(中文正文)"/>
          <w:b w:val="false"/>
          <w:i w:val="false"/>
          <w:sz w:val="20"/>
        </w:rPr>
        <w:t>公司通过多措并举降低了原材料价格波动影响，盈利能力显著修复。在AI算力基础设施领域，公司订单导入顺利，需求快速增长，已批量供应高性能PCB，并与全球领先客户建立战略合作伙伴关系。金湾AI算力工厂将逐步满产，预计对公司未来数个季度经营业绩形成明确增量贡献。公司正积极推动新产线建设和产能规划，包括高级HDI工厂和泰国生产基地的建设，以满足核心客户需求的持续增长。下半年，公司将从预期驱动转向业绩驱动，聚焦高端赛道，以扎实执行力将战略蓝图转化为实际经营业绩。</w:t>
      </w:r>
    </w:p>
    <w:p>
      <w:r>
        <w:rPr>
          <w:rFonts w:ascii="等线(中文正文)" w:hAnsi="等线(中文正文)" w:cs="等线(中文正文)" w:eastAsia="等线(中文正文)"/>
          <w:b w:val="false"/>
          <w:i w:val="false"/>
          <w:sz w:val="20"/>
        </w:rPr>
        <w:t/>
      </w:r>
    </w:p>
    <w:p>
      <w:pPr>
        <w:pStyle w:val="ab"/>
        <w:numPr>
          <w:numId w:val="3"/>
        </w:numPr>
      </w:pPr>
      <w:r>
        <w:t>06:24 公司业绩与珠海金湾产能扩展情况</w:t>
      </w:r>
    </w:p>
    <w:p>
      <w:r>
        <w:rPr>
          <w:rFonts w:ascii="等线(中文正文)" w:hAnsi="等线(中文正文)" w:cs="等线(中文正文)" w:eastAsia="等线(中文正文)"/>
          <w:b w:val="false"/>
          <w:i w:val="false"/>
          <w:sz w:val="20"/>
        </w:rPr>
        <w:t>对话围绕公司业绩改善及珠海金湾产能扩展展开，提到二季度业务趋势好转，收入与利润增速提升，珠海金湾工厂产能已满，预计三季度订单量将大幅增加，全年销售有望超30亿。此外，公司正积极扩展产能以满足大客户需求，未来产能紧张局面将持续。</w:t>
      </w:r>
    </w:p>
    <w:p>
      <w:r>
        <w:rPr>
          <w:rFonts w:ascii="等线(中文正文)" w:hAnsi="等线(中文正文)" w:cs="等线(中文正文)" w:eastAsia="等线(中文正文)"/>
          <w:b w:val="false"/>
          <w:i w:val="false"/>
          <w:sz w:val="20"/>
        </w:rPr>
        <w:t/>
      </w:r>
    </w:p>
    <w:p>
      <w:pPr>
        <w:pStyle w:val="ab"/>
        <w:numPr>
          <w:numId w:val="4"/>
        </w:numPr>
      </w:pPr>
      <w:r>
        <w:t>11:13 珠海金湾基地新公告：加速超高多层PCB产能释放</w:t>
      </w:r>
    </w:p>
    <w:p>
      <w:r>
        <w:rPr>
          <w:rFonts w:ascii="等线(中文正文)" w:hAnsi="等线(中文正文)" w:cs="等线(中文正文)" w:eastAsia="等线(中文正文)"/>
          <w:b w:val="false"/>
          <w:i w:val="false"/>
          <w:sz w:val="20"/>
        </w:rPr>
        <w:t>珠海金湾基地计划扩展超高多层PCB产能，以应对客户迫切需求。去年启动的第三个工厂，主打AI算力及高阶智驾的HDR产品，预计十月份全面投产。新项目'advance HEI'专注于AI计算和高阶厚板产品，已锁定产能和设备供应，旨在打造业界高多层标杆工厂，目标平均层数达36层以上，当前处于供不应求状态，正加速产能释放。</w:t>
      </w:r>
    </w:p>
    <w:p>
      <w:r>
        <w:rPr>
          <w:rFonts w:ascii="等线(中文正文)" w:hAnsi="等线(中文正文)" w:cs="等线(中文正文)" w:eastAsia="等线(中文正文)"/>
          <w:b w:val="false"/>
          <w:i w:val="false"/>
          <w:sz w:val="20"/>
        </w:rPr>
        <w:t/>
      </w:r>
    </w:p>
    <w:p>
      <w:pPr>
        <w:pStyle w:val="ab"/>
        <w:numPr>
          <w:numId w:val="5"/>
        </w:numPr>
      </w:pPr>
      <w:r>
        <w:t>15:06 公司HDI产品产能提升与交换机市场进展</w:t>
      </w:r>
    </w:p>
    <w:p>
      <w:r>
        <w:rPr>
          <w:rFonts w:ascii="等线(中文正文)" w:hAnsi="等线(中文正文)" w:cs="等线(中文正文)" w:eastAsia="等线(中文正文)"/>
          <w:b w:val="false"/>
          <w:i w:val="false"/>
          <w:sz w:val="20"/>
        </w:rPr>
        <w:t>对话围绕公司HDI产品产能提升计划展开，提到高级HDI工厂将于十月份全面运行，以满足未来客户对高级HDI的需求，尤其是计算板的批量交付。同时，讨论了公司在交换机市场的进展，包括国产客户如锐捷等的批量交付，以及海外主流ODM厂商项目的拓展，显示公司在国内外交换机市场取得的显著进展。</w:t>
      </w:r>
    </w:p>
    <w:p>
      <w:r>
        <w:rPr>
          <w:rFonts w:ascii="等线(中文正文)" w:hAnsi="等线(中文正文)" w:cs="等线(中文正文)" w:eastAsia="等线(中文正文)"/>
          <w:b w:val="false"/>
          <w:i w:val="false"/>
          <w:sz w:val="20"/>
        </w:rPr>
        <w:t/>
      </w:r>
    </w:p>
    <w:p>
      <w:pPr>
        <w:pStyle w:val="ab"/>
        <w:numPr>
          <w:numId w:val="6"/>
        </w:numPr>
      </w:pPr>
      <w:r>
        <w:t>19:05 CSP客户群体突破与AI算力材料前景探讨</w:t>
      </w:r>
    </w:p>
    <w:p>
      <w:r>
        <w:rPr>
          <w:rFonts w:ascii="等线(中文正文)" w:hAnsi="等线(中文正文)" w:cs="等线(中文正文)" w:eastAsia="等线(中文正文)"/>
          <w:b w:val="false"/>
          <w:i w:val="false"/>
          <w:sz w:val="20"/>
        </w:rPr>
        <w:t>讨论了北美CSP客户群体的突破计划，目标在28年与至少两家云厂商建立实际业绩交付的合作关系。同时，针对AI算力领域的材料变化，如PDFV、陶瓷类材料及马酒Q布等，指出其应用前景广阔，但具体使用场景尚需进一步研究与客户设计配合。强调了高速低损材料研发的重要性。</w:t>
      </w:r>
    </w:p>
    <w:p>
      <w:r>
        <w:rPr>
          <w:rFonts w:ascii="等线(中文正文)" w:hAnsi="等线(中文正文)" w:cs="等线(中文正文)" w:eastAsia="等线(中文正文)"/>
          <w:b w:val="false"/>
          <w:i w:val="false"/>
          <w:sz w:val="20"/>
        </w:rPr>
        <w:t/>
      </w:r>
    </w:p>
    <w:p>
      <w:pPr>
        <w:pStyle w:val="ab"/>
        <w:numPr>
          <w:numId w:val="7"/>
        </w:numPr>
      </w:pPr>
      <w:r>
        <w:t>22:33 光模块生产与良率提升及供应链优化</w:t>
      </w:r>
    </w:p>
    <w:p>
      <w:r>
        <w:rPr>
          <w:rFonts w:ascii="等线(中文正文)" w:hAnsi="等线(中文正文)" w:cs="等线(中文正文)" w:eastAsia="等线(中文正文)"/>
          <w:b w:val="false"/>
          <w:i w:val="false"/>
          <w:sz w:val="20"/>
        </w:rPr>
        <w:t>对话围绕光模块生产展开，详细介绍了自2023年起公司在珠海SOP工厂的布局与技术升级，包括新增产线、良率提升至85%以上，以及有效解决物料准备度问题。此外，还提及了与主流厂商的良好关系、国产材料验证以确保供应链安全，以及对下半年和明年供应链调整的积极应对。</w:t>
      </w:r>
    </w:p>
    <w:p>
      <w:r>
        <w:rPr>
          <w:rFonts w:ascii="等线(中文正文)" w:hAnsi="等线(中文正文)" w:cs="等线(中文正文)" w:eastAsia="等线(中文正文)"/>
          <w:b w:val="false"/>
          <w:i w:val="false"/>
          <w:sz w:val="20"/>
        </w:rPr>
        <w:t/>
      </w:r>
    </w:p>
    <w:p>
      <w:pPr>
        <w:pStyle w:val="ab"/>
        <w:numPr>
          <w:numId w:val="8"/>
        </w:numPr>
      </w:pPr>
      <w:r>
        <w:t>28:45 m sup技术与光模块竞争格局分析</w:t>
      </w:r>
    </w:p>
    <w:p>
      <w:r>
        <w:rPr>
          <w:rFonts w:ascii="等线(中文正文)" w:hAnsi="等线(中文正文)" w:cs="等线(中文正文)" w:eastAsia="等线(中文正文)"/>
          <w:b w:val="false"/>
          <w:i w:val="false"/>
          <w:sz w:val="20"/>
        </w:rPr>
        <w:t>对话围绕m sup技术在光模块领域的重要性及未来竞争格局展开。指出m sup技术是未来发展的关键，当前市场供不应求，新入局者面临高门槛。强调头部客户对市场和技术方向的引领作用，认为m sup领域的竞争将趋于集中，核心供应商地位稳固。</w:t>
      </w:r>
    </w:p>
    <w:p>
      <w:r>
        <w:rPr>
          <w:rFonts w:ascii="等线(中文正文)" w:hAnsi="等线(中文正文)" w:cs="等线(中文正文)" w:eastAsia="等线(中文正文)"/>
          <w:b w:val="false"/>
          <w:i w:val="false"/>
          <w:sz w:val="20"/>
        </w:rPr>
        <w:t/>
      </w:r>
    </w:p>
    <w:p>
      <w:pPr>
        <w:pStyle w:val="ab"/>
        <w:numPr>
          <w:numId w:val="9"/>
        </w:numPr>
      </w:pPr>
      <w:r>
        <w:t>32:04 NPO放量节奏与M技术路线探讨</w:t>
      </w:r>
    </w:p>
    <w:p>
      <w:r>
        <w:rPr>
          <w:rFonts w:ascii="等线(中文正文)" w:hAnsi="等线(中文正文)" w:cs="等线(中文正文)" w:eastAsia="等线(中文正文)"/>
          <w:b w:val="false"/>
          <w:i w:val="false"/>
          <w:sz w:val="20"/>
        </w:rPr>
        <w:t>对话围绕NPO产品的放量节奏和M技术路线展开，一方表示NPO产品具体细节尚在了解中，不便透露，强调当前核心任务为800T和1.6T产品的交付。对于M技术路线，虽存在不确定性，但认为其作为过渡环节对后续技术发展有积极影响，值得持续关注与探索。</w:t>
      </w:r>
    </w:p>
    <w:p>
      <w:r>
        <w:rPr>
          <w:rFonts w:ascii="等线(中文正文)" w:hAnsi="等线(中文正文)" w:cs="等线(中文正文)" w:eastAsia="等线(中文正文)"/>
          <w:b w:val="false"/>
          <w:i w:val="false"/>
          <w:sz w:val="20"/>
        </w:rPr>
        <w:t/>
      </w:r>
    </w:p>
    <w:p>
      <w:pPr>
        <w:pStyle w:val="ab"/>
        <w:numPr>
          <w:numId w:val="10"/>
        </w:numPr>
      </w:pPr>
      <w:r>
        <w:t>35:02 AI与HDI产品毛利提升及原材料价格趋势分析</w:t>
      </w:r>
    </w:p>
    <w:p>
      <w:r>
        <w:rPr>
          <w:rFonts w:ascii="等线(中文正文)" w:hAnsi="等线(中文正文)" w:cs="等线(中文正文)" w:eastAsia="等线(中文正文)"/>
          <w:b w:val="false"/>
          <w:i w:val="false"/>
          <w:sz w:val="20"/>
        </w:rPr>
        <w:t>讨论了AI相关产品和HDI在高良率下显著提升毛利水平，得益于公司长期积累与客户信任，产品质量获高度认可。同时，尽管近期有供应商降价传闻，公司主流合作伙伴未出现此类情况，预计未来材料价格仍可能上涨，强调坚持客户为中心，保障核心客户供应，尤其重视质量管控与供应链稳定。</w:t>
      </w:r>
    </w:p>
    <w:p>
      <w:r>
        <w:rPr>
          <w:rFonts w:ascii="等线(中文正文)" w:hAnsi="等线(中文正文)" w:cs="等线(中文正文)" w:eastAsia="等线(中文正文)"/>
          <w:b w:val="false"/>
          <w:i w:val="false"/>
          <w:sz w:val="20"/>
        </w:rPr>
        <w:t/>
      </w:r>
    </w:p>
    <w:p>
      <w:pPr>
        <w:pStyle w:val="ab"/>
        <w:numPr>
          <w:numId w:val="11"/>
        </w:numPr>
      </w:pPr>
      <w:r>
        <w:t>41:51 公司产能优化与AI生产计划</w:t>
      </w:r>
    </w:p>
    <w:p>
      <w:r>
        <w:rPr>
          <w:rFonts w:ascii="等线(中文正文)" w:hAnsi="等线(中文正文)" w:cs="等线(中文正文)" w:eastAsia="等线(中文正文)"/>
          <w:b w:val="false"/>
          <w:i w:val="false"/>
          <w:sz w:val="20"/>
        </w:rPr>
        <w:t>对话围绕公司产能优化和AI生产计划展开，管理层强调与客户沟通顺畅，产能能满足需求并承诺超额完成。公司已投资改造产线以迎接增量订单，核心工作转向新产能释放。</w:t>
      </w:r>
    </w:p>
    <w:p>
      <w:r>
        <w:rPr>
          <w:rFonts w:ascii="等线(中文正文)" w:hAnsi="等线(中文正文)" w:cs="等线(中文正文)" w:eastAsia="等线(中文正文)"/>
          <w:b w:val="false"/>
          <w:i w:val="false"/>
          <w:sz w:val="20"/>
        </w:rPr>
        <w:t/>
      </w:r>
    </w:p>
    <w:p>
      <w:pPr>
        <w:pStyle w:val="ab"/>
        <w:numPr>
          <w:numId w:val="12"/>
        </w:numPr>
      </w:pPr>
      <w:r>
        <w:t>45:06 PCB行业扩产与供应链锁定及盈利能力提升</w:t>
      </w:r>
    </w:p>
    <w:p>
      <w:r>
        <w:rPr>
          <w:rFonts w:ascii="等线(中文正文)" w:hAnsi="等线(中文正文)" w:cs="等线(中文正文)" w:eastAsia="等线(中文正文)"/>
          <w:b w:val="false"/>
          <w:i w:val="false"/>
          <w:sz w:val="20"/>
        </w:rPr>
        <w:t>讨论了PCB行业在扩产计划中对关键设备供应链的提前锁定情况，以及通过涨价策略实现的盈利能力提升。提到二季度毛利率恢复，预计全年毛利率不低于去年，三季度和四季度将继续传导成本压力，确保全年轻工业务的毛利水平。同时，将分客户、分产品、分领域地推进涨价诉求。</w:t>
      </w:r>
    </w:p>
    <w:p>
      <w:r>
        <w:rPr>
          <w:rFonts w:ascii="等线(中文正文)" w:hAnsi="等线(中文正文)" w:cs="等线(中文正文)" w:eastAsia="等线(中文正文)"/>
          <w:b w:val="false"/>
          <w:i w:val="false"/>
          <w:sz w:val="20"/>
        </w:rPr>
        <w:t/>
      </w:r>
    </w:p>
    <w:p>
      <w:pPr>
        <w:pStyle w:val="ab"/>
        <w:numPr>
          <w:numId w:val="13"/>
        </w:numPr>
      </w:pPr>
      <w:r>
        <w:t>50:02 PCB行业高端市场发展与竞争优势分析</w:t>
      </w:r>
    </w:p>
    <w:p>
      <w:r>
        <w:rPr>
          <w:rFonts w:ascii="等线(中文正文)" w:hAnsi="等线(中文正文)" w:cs="等线(中文正文)" w:eastAsia="等线(中文正文)"/>
          <w:b w:val="false"/>
          <w:i w:val="false"/>
          <w:sz w:val="20"/>
        </w:rPr>
        <w:t>对话围绕PCB行业高端市场的发展趋势和竞争优势展开讨论。参与者提到AI对硬件需求的持续增长，以及PCB厂商在这一领域的机遇。强调了有效高质量产能、深度客户沟通与技术支持的重要性，以及头部玩家通过满足客户需求实现高质量交付的必要性。对于市场竞争，建议关注客户导入和技术能力提升，以解决客户痛点，支持产品发展。</w:t>
      </w:r>
    </w:p>
    <w:p>
      <w:r>
        <w:rPr>
          <w:rFonts w:ascii="等线(中文正文)" w:hAnsi="等线(中文正文)" w:cs="等线(中文正文)" w:eastAsia="等线(中文正文)"/>
          <w:b w:val="false"/>
          <w:i w:val="false"/>
          <w:sz w:val="20"/>
        </w:rPr>
        <w:t/>
      </w:r>
    </w:p>
    <w:p>
      <w:pPr>
        <w:pStyle w:val="ab"/>
        <w:numPr>
          <w:numId w:val="14"/>
        </w:numPr>
      </w:pPr>
      <w:r>
        <w:t>55:07 中美地缘博弈下的供应链布局与PCB技术发展</w:t>
      </w:r>
    </w:p>
    <w:p>
      <w:r>
        <w:rPr>
          <w:rFonts w:ascii="等线(中文正文)" w:hAnsi="等线(中文正文)" w:cs="等线(中文正文)" w:eastAsia="等线(中文正文)"/>
          <w:b w:val="false"/>
          <w:i w:val="false"/>
          <w:sz w:val="20"/>
        </w:rPr>
        <w:t>讨论了中美地缘博弈对供应链的影响，指出中国大陆在PCB技术及电子产品供应链中的不可替代性，同时分享了泰国工厂的市场进入情况，强调技术迭代与产能领先是未来发展的关键，海外布局需配合客户需求并逐步实现有效产出。</w:t>
      </w:r>
    </w:p>
    <w:p>
      <w:r>
        <w:rPr>
          <w:rFonts w:ascii="等线(中文正文)" w:hAnsi="等线(中文正文)" w:cs="等线(中文正文)" w:eastAsia="等线(中文正文)"/>
          <w:b w:val="false"/>
          <w:i w:val="false"/>
          <w:sz w:val="20"/>
        </w:rPr>
        <w:t/>
      </w:r>
    </w:p>
    <w:p>
      <w:pPr>
        <w:pStyle w:val="ab"/>
        <w:numPr>
          <w:numId w:val="15"/>
        </w:numPr>
      </w:pPr>
      <w:r>
        <w:t>58:27 公司前沿技术与材料储备介绍</w:t>
      </w:r>
    </w:p>
    <w:p>
      <w:r>
        <w:rPr>
          <w:rFonts w:ascii="等线(中文正文)" w:hAnsi="等线(中文正文)" w:cs="等线(中文正文)" w:eastAsia="等线(中文正文)"/>
          <w:b w:val="false"/>
          <w:i w:val="false"/>
          <w:sz w:val="20"/>
        </w:rPr>
        <w:t>对话围绕公司在埋嵌陶瓷、PTFE材料、低轨卫星PCB等领域的技术储备展开，提及车载应用、5G天线、毫米波雷达等场景下的技术积累与研发进展，强调了公司在这些领域持续投入研发资源，以及在陶瓷基板技术上的应用拓展，展现了公司对先进材料与工艺的重视与早期布局。</w:t>
      </w:r>
    </w:p>
    <w:p>
      <w:r>
        <w:rPr>
          <w:rFonts w:ascii="等线(中文正文)" w:hAnsi="等线(中文正文)" w:cs="等线(中文正文)" w:eastAsia="等线(中文正文)"/>
          <w:b w:val="false"/>
          <w:i w:val="false"/>
          <w:sz w:val="20"/>
        </w:rPr>
        <w:t/>
      </w:r>
    </w:p>
    <w:p>
      <w:pPr>
        <w:pStyle w:val="ab"/>
        <w:numPr>
          <w:numId w:val="16"/>
        </w:numPr>
      </w:pPr>
      <w:r>
        <w:t>01:02:35 公司上半年订单完成度及未来交付展望</w:t>
      </w:r>
    </w:p>
    <w:p>
      <w:r>
        <w:rPr>
          <w:rFonts w:ascii="等线(中文正文)" w:hAnsi="等线(中文正文)" w:cs="等线(中文正文)" w:eastAsia="等线(中文正文)"/>
          <w:b w:val="false"/>
          <w:i w:val="false"/>
          <w:sz w:val="20"/>
        </w:rPr>
        <w:t>对话围绕公司上半年订单完成情况展开，透露上半年完成约四五个亿，主要为高多层产品，液冷板占比部分。预计四季度单月出货量可达八九个亿至十个亿，形成业绩高峰。谈及领军客户订单滚动下达周期，强调客户新平台生命周期与总体量决定订单总量，公司正通过认证和产能释放积极拓展新项目。未来订单规划细节不便透露，但公司承诺将努力争取，为市场带来惊喜。</w:t>
      </w:r>
    </w:p>
    <w:p>
      <w:r>
        <w:rPr>
          <w:rFonts w:ascii="等线(中文正文)" w:hAnsi="等线(中文正文)" w:cs="等线(中文正文)" w:eastAsia="等线(中文正文)"/>
          <w:b w:val="false"/>
          <w:i w:val="false"/>
          <w:sz w:val="20"/>
        </w:rPr>
        <w:t/>
      </w:r>
    </w:p>
    <w:p>
      <w:pPr>
        <w:pStyle w:val="ab"/>
        <w:numPr>
          <w:numId w:val="17"/>
        </w:numPr>
      </w:pPr>
      <w:r>
        <w:t>01:06:42 PCB行业升级与良率提升策略</w:t>
      </w:r>
    </w:p>
    <w:p>
      <w:r>
        <w:rPr>
          <w:rFonts w:ascii="等线(中文正文)" w:hAnsi="等线(中文正文)" w:cs="等线(中文正文)" w:eastAsia="等线(中文正文)"/>
          <w:b w:val="false"/>
          <w:i w:val="false"/>
          <w:sz w:val="20"/>
        </w:rPr>
        <w:t>对话围绕PCB行业未来发展趋势展开，重点讨论了m up产线快速提升良率至85%的实践与目标，以及光化m sub细分市场毛利率提升策略。管理层强调了价格传导机制对供应链健康发展的积极作用，以及高性能PCB产品占比提升对公司业绩的正面影响，展现了公司对行业涨价周期的积极应对态度和未来业绩改善的信心。</w:t>
      </w:r>
    </w:p>
    <w:p>
      <w:r>
        <w:rPr>
          <w:rFonts w:ascii="等线(中文正文)" w:hAnsi="等线(中文正文)" w:cs="等线(中文正文)" w:eastAsia="等线(中文正文)"/>
          <w:b w:val="false"/>
          <w:i w:val="false"/>
          <w:sz w:val="20"/>
        </w:rPr>
        <w:t/>
      </w:r>
    </w:p>
    <w:p>
      <w:pPr>
        <w:pStyle w:val="a7"/>
      </w:pPr>
      <w:r>
        <w:t>发言总结</w:t>
      </w:r>
    </w:p>
    <w:p>
      <w:pPr>
        <w:pStyle w:val="ab"/>
        <w:numPr>
          <w:numId w:val="18"/>
        </w:numPr>
      </w:pPr>
      <w:r>
        <w:t>发言人1</w:t>
      </w:r>
    </w:p>
    <w:p>
      <w:r>
        <w:rPr>
          <w:rFonts w:ascii="等线(中文正文)" w:hAnsi="等线(中文正文)" w:cs="等线(中文正文)" w:eastAsia="等线(中文正文)"/>
          <w:b w:val="false"/>
          <w:i w:val="false"/>
          <w:sz w:val="20"/>
        </w:rPr>
        <w:t>主持并介绍了景旺电子2026年半年度业绩交流会，强调了会议内容的保密性，提醒参与者不得擅自转发会议内容。会议包括领导致辞、业务汇报、财务数据分享及问答环节。他欢迎投资者和分析师参与，简要回顾了公司上半年的经营情况，包括营业收入、归母净利润及汇率影响。详细介绍了公司的产品结构、主要业务领域收入占比，并强调了公司在汽车电子和数据中心领域取得的进展。发言中提及公司在高速光模块领域的重要突破，与全球领先客户建立的战略合作伙伴关系，以及珠海金湾产能扩展计划和新扩产计划。在问答环节，他回答了投资者和分析师关于订单情况、客户导入进展、产能建设扩张计划、材料价格趋势、毛利率提升策略、及公司面临的挑战和应对措施等问题。他强调公司致力于技术创新和客户定制化服务，积极面对市场挑战，追求长期可持续发展。最后，他感谢投资者和分析师的积极参与，并期待公司在下半年及未来实现业绩的持续提升。</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问：在四季度，我们是否预计会在类似计算板这样的产品上形成较大的批量性交付？在交换机市场方面，我们目前取得了哪些进展？</w:t>
      </w:r>
    </w:p>
    <w:p>
      <w:r>
        <w:rPr>
          <w:rFonts w:ascii="等线(中文正文)" w:hAnsi="等线(中文正文)" w:cs="等线(中文正文)" w:eastAsia="等线(中文正文)"/>
          <w:b w:val="false"/>
          <w:i w:val="false"/>
          <w:sz w:val="20"/>
        </w:rPr>
        <w:t>发言人1 答：是的，四季度在计算板方面可能会有较大的批量性交付，这主要是由于新工厂在经过一系列程序和流程后，我们将尽可能加快进度以满足客户需求。在交换机市场，我们已经取得了一些不错的表现。例如，1112G224G等产品已进入批量交付阶段，并且与一些国产客户如新浪锐捷等合作顺利，56G和112G产品已进入批量阶段。</w:t>
      </w:r>
    </w:p>
    <w:p>
      <w:r>
        <w:rPr>
          <w:rFonts w:ascii="等线(中文正文)" w:hAnsi="等线(中文正文)" w:cs="等线(中文正文)" w:eastAsia="等线(中文正文)"/>
          <w:b w:val="false"/>
          <w:i w:val="false"/>
          <w:sz w:val="20"/>
        </w:rPr>
        <w:t/>
      </w:r>
    </w:p>
    <w:p>
      <w:pPr>
        <w:pStyle w:val="ab"/>
      </w:pPr>
      <w:r>
        <w:t>发言人1 问：在海外市场方面，我们在交换机项目上有什么样的进展？</w:t>
      </w:r>
    </w:p>
    <w:p>
      <w:r>
        <w:rPr>
          <w:rFonts w:ascii="等线(中文正文)" w:hAnsi="等线(中文正文)" w:cs="等线(中文正文)" w:eastAsia="等线(中文正文)"/>
          <w:b w:val="false"/>
          <w:i w:val="false"/>
          <w:sz w:val="20"/>
        </w:rPr>
        <w:t>发言人1 答：在海外市场，尤其是主流ODM厂商的交换机项目上，我们这半年来取得了较大进展，已成功进入国内外多个主流厂商的ABL，并有项目在进行打样或产能准备阶段。</w:t>
      </w:r>
    </w:p>
    <w:p>
      <w:r>
        <w:rPr>
          <w:rFonts w:ascii="等线(中文正文)" w:hAnsi="等线(中文正文)" w:cs="等线(中文正文)" w:eastAsia="等线(中文正文)"/>
          <w:b w:val="false"/>
          <w:i w:val="false"/>
          <w:sz w:val="20"/>
        </w:rPr>
        <w:t/>
      </w:r>
    </w:p>
    <w:p>
      <w:pPr>
        <w:pStyle w:val="ab"/>
      </w:pPr>
      <w:r>
        <w:t>发言人1 问：关于北美CSP客户群体，在今年四季度是否会有所突破？</w:t>
      </w:r>
    </w:p>
    <w:p>
      <w:r>
        <w:rPr>
          <w:rFonts w:ascii="等线(中文正文)" w:hAnsi="等线(中文正文)" w:cs="等线(中文正文)" w:eastAsia="等线(中文正文)"/>
          <w:b w:val="false"/>
          <w:i w:val="false"/>
          <w:sz w:val="20"/>
        </w:rPr>
        <w:t>发言人1 答：对于北美CSP客户群体，我们正在积极应对云厂商提出的各种要求，并努力在四季度实现客户群体的突破。目前与几家云厂商都有接触，进展不一，但目标是在2028年至少有两家云厂商能成为我们不仅合格供应商，还能有实际业绩交付的状态。</w:t>
      </w:r>
    </w:p>
    <w:p>
      <w:r>
        <w:rPr>
          <w:rFonts w:ascii="等线(中文正文)" w:hAnsi="等线(中文正文)" w:cs="等线(中文正文)" w:eastAsia="等线(中文正文)"/>
          <w:b w:val="false"/>
          <w:i w:val="false"/>
          <w:sz w:val="20"/>
        </w:rPr>
        <w:t/>
      </w:r>
    </w:p>
    <w:p>
      <w:pPr>
        <w:pStyle w:val="ab"/>
      </w:pPr>
      <w:r>
        <w:t>发言人1 问：对于AI算力领域材料的变化及应用前景，能否分享一下看法？</w:t>
      </w:r>
    </w:p>
    <w:p>
      <w:r>
        <w:rPr>
          <w:rFonts w:ascii="等线(中文正文)" w:hAnsi="等线(中文正文)" w:cs="等线(中文正文)" w:eastAsia="等线(中文正文)"/>
          <w:b w:val="false"/>
          <w:i w:val="false"/>
          <w:sz w:val="20"/>
        </w:rPr>
        <w:t>发言人1 答：材料的应用前景广泛，我们作为前沿厂商会积极跟进和配合新材料的发展。具体到何时、何地以及如何使用这些材料，还需要进一步研究和探索，但我们肯定会追求高速、低损等前沿材料的研究。</w:t>
      </w:r>
    </w:p>
    <w:p>
      <w:r>
        <w:rPr>
          <w:rFonts w:ascii="等线(中文正文)" w:hAnsi="等线(中文正文)" w:cs="等线(中文正文)" w:eastAsia="等线(中文正文)"/>
          <w:b w:val="false"/>
          <w:i w:val="false"/>
          <w:sz w:val="20"/>
        </w:rPr>
        <w:t/>
      </w:r>
    </w:p>
    <w:p>
      <w:pPr>
        <w:pStyle w:val="ab"/>
      </w:pPr>
      <w:r>
        <w:t>发言人1 问：关于光模块领域，特别是在AI算力方面的表现及后续规划？</w:t>
      </w:r>
    </w:p>
    <w:p>
      <w:r>
        <w:rPr>
          <w:rFonts w:ascii="等线(中文正文)" w:hAnsi="等线(中文正文)" w:cs="等线(中文正文)" w:eastAsia="等线(中文正文)"/>
          <w:b w:val="false"/>
          <w:i w:val="false"/>
          <w:sz w:val="20"/>
        </w:rPr>
        <w:t>发言人1 答：在光模块领域，我们在M领域的布局已取得显著成果，目前在SLP工厂已具备五条生产线的生产能力，预计11月份月产出将超过200万只，并且良率超过85%。我们提前储备并积累了丰富的经验，随着客户需求的增长，将进一步提升产能和优化供应链管理。</w:t>
      </w:r>
    </w:p>
    <w:p>
      <w:r>
        <w:rPr>
          <w:rFonts w:ascii="等线(中文正文)" w:hAnsi="等线(中文正文)" w:cs="等线(中文正文)" w:eastAsia="等线(中文正文)"/>
          <w:b w:val="false"/>
          <w:i w:val="false"/>
          <w:sz w:val="20"/>
        </w:rPr>
        <w:t/>
      </w:r>
    </w:p>
    <w:p>
      <w:pPr>
        <w:pStyle w:val="ab"/>
      </w:pPr>
      <w:r>
        <w:t>发言人1 问：对于未来竞争格局的看法，尤其是在M sup光模块方面的竞争？</w:t>
      </w:r>
    </w:p>
    <w:p>
      <w:r>
        <w:rPr>
          <w:rFonts w:ascii="等线(中文正文)" w:hAnsi="等线(中文正文)" w:cs="等线(中文正文)" w:eastAsia="等线(中文正文)"/>
          <w:b w:val="false"/>
          <w:i w:val="false"/>
          <w:sz w:val="20"/>
        </w:rPr>
        <w:t>发言人1 答：光模块产品在未来技术发展中扮演重要角色，目前M sup工艺供不应求，短期内难以快速切入。现有设备交付周期长，因此对于新入行者来说，进入该领域的压力较大。</w:t>
      </w:r>
    </w:p>
    <w:p>
      <w:r>
        <w:rPr>
          <w:rFonts w:ascii="等线(中文正文)" w:hAnsi="等线(中文正文)" w:cs="等线(中文正文)" w:eastAsia="等线(中文正文)"/>
          <w:b w:val="false"/>
          <w:i w:val="false"/>
          <w:sz w:val="20"/>
        </w:rPr>
        <w:t/>
      </w:r>
    </w:p>
    <w:p>
      <w:pPr>
        <w:pStyle w:val="ab"/>
      </w:pPr>
      <w:r>
        <w:t>发言人1 问：那么对于M破产这个情况，您是怎么看待其竞争格局的？</w:t>
      </w:r>
    </w:p>
    <w:p>
      <w:r>
        <w:rPr>
          <w:rFonts w:ascii="等线(中文正文)" w:hAnsi="等线(中文正文)" w:cs="等线(中文正文)" w:eastAsia="等线(中文正文)"/>
          <w:b w:val="false"/>
          <w:i w:val="false"/>
          <w:sz w:val="20"/>
        </w:rPr>
        <w:t>发言人1 答：我认为M破产所面临的产品门槛实际上并不低，尤其是在24年到25年间，在没有遇到重大瓶颈时我们就开始进行产品验证，过程中付出了很多学费。因此，我预计未来的M sup竞争格局会相对集中。</w:t>
      </w:r>
    </w:p>
    <w:p>
      <w:r>
        <w:rPr>
          <w:rFonts w:ascii="等线(中文正文)" w:hAnsi="等线(中文正文)" w:cs="等线(中文正文)" w:eastAsia="等线(中文正文)"/>
          <w:b w:val="false"/>
          <w:i w:val="false"/>
          <w:sz w:val="20"/>
        </w:rPr>
        <w:t/>
      </w:r>
    </w:p>
    <w:p>
      <w:pPr>
        <w:pStyle w:val="ab"/>
      </w:pPr>
      <w:r>
        <w:t>发言人1 问：您能否分享一下对于明年NPO放量节奏的看法，以及M是否可以被视为P甲板化的中间过渡环节？</w:t>
      </w:r>
    </w:p>
    <w:p>
      <w:r>
        <w:rPr>
          <w:rFonts w:ascii="等线(中文正文)" w:hAnsi="等线(中文正文)" w:cs="等线(中文正文)" w:eastAsia="等线(中文正文)"/>
          <w:b w:val="false"/>
          <w:i w:val="false"/>
          <w:sz w:val="20"/>
        </w:rPr>
        <w:t>发言人1 答：对于NPO放量节奏，我客观地说确实有一些了解，团队也在积极与客户沟通新产品情况，但由于产品形态、设计以及量等方面的细节还在了解中，不便透露更多信息。目前我们的主要任务是确保800T和1.6T产品的交付。至于M是否为P甲板化的过渡环节，虽然M技术储备重要且值得关注，但其未来形态和发展还不明朗。</w:t>
      </w:r>
    </w:p>
    <w:p>
      <w:r>
        <w:rPr>
          <w:rFonts w:ascii="等线(中文正文)" w:hAnsi="等线(中文正文)" w:cs="等线(中文正文)" w:eastAsia="等线(中文正文)"/>
          <w:b w:val="false"/>
          <w:i w:val="false"/>
          <w:sz w:val="20"/>
        </w:rPr>
        <w:t/>
      </w:r>
    </w:p>
    <w:p>
      <w:pPr>
        <w:pStyle w:val="ab"/>
      </w:pPr>
      <w:r>
        <w:t>发言人1 问：AI相关的m up产品以及高多层和HDI部分的毛利水平相比常规产品大概能增加多少？</w:t>
      </w:r>
    </w:p>
    <w:p>
      <w:r>
        <w:rPr>
          <w:rFonts w:ascii="等线(中文正文)" w:hAnsi="等线(中文正文)" w:cs="等线(中文正文)" w:eastAsia="等线(中文正文)"/>
          <w:b w:val="false"/>
          <w:i w:val="false"/>
          <w:sz w:val="20"/>
        </w:rPr>
        <w:t>发言人1 答：目前，得益于多年沉淀和客户信任支持，我们在AI和光模块产品的良率和毛利方面已进入业界一梯队。具体AI产品的毛利提升幅度，因为涉及良率问题，无法给出直接明确的答复，但我们正在不断尝试和探索，MR技术的发展也值得关注。</w:t>
      </w:r>
    </w:p>
    <w:p>
      <w:r>
        <w:rPr>
          <w:rFonts w:ascii="等线(中文正文)" w:hAnsi="等线(中文正文)" w:cs="等线(中文正文)" w:eastAsia="等线(中文正文)"/>
          <w:b w:val="false"/>
          <w:i w:val="false"/>
          <w:sz w:val="20"/>
        </w:rPr>
        <w:t/>
      </w:r>
    </w:p>
    <w:p>
      <w:pPr>
        <w:pStyle w:val="ab"/>
      </w:pPr>
      <w:r>
        <w:t>发言人1 问：最近是否感受到原材料价格有所下降，以及对于后续常规发货产品的料号价格趋势怎么看？</w:t>
      </w:r>
    </w:p>
    <w:p>
      <w:r>
        <w:rPr>
          <w:rFonts w:ascii="等线(中文正文)" w:hAnsi="等线(中文正文)" w:cs="等线(中文正文)" w:eastAsia="等线(中文正文)"/>
          <w:b w:val="false"/>
          <w:i w:val="false"/>
          <w:sz w:val="20"/>
        </w:rPr>
        <w:t>发言人1 答：在过去十个月左右的时间里，PCB材料涨价确实对我们造成较大困扰。但在5 6月份时，通过与客户的沟通，我们逐步得到认可并成功将材料成本上涨转移至下游，目前客户基本接受。至于材料厂商是否降价，我们并不清楚具体情况，但我们主要与高质量和高技术能力的主流供应商合作，关注长期主义和供应链梳理。对于下半年及明年材料价格走势，预计仍有可能上升，我们将坚持以客户为中心，确保核心客户的供应和产品质量。</w:t>
      </w:r>
    </w:p>
    <w:p>
      <w:r>
        <w:rPr>
          <w:rFonts w:ascii="等线(中文正文)" w:hAnsi="等线(中文正文)" w:cs="等线(中文正文)" w:eastAsia="等线(中文正文)"/>
          <w:b w:val="false"/>
          <w:i w:val="false"/>
          <w:sz w:val="20"/>
        </w:rPr>
        <w:t/>
      </w:r>
    </w:p>
    <w:p>
      <w:pPr>
        <w:pStyle w:val="ab"/>
      </w:pPr>
      <w:r>
        <w:t>发言人1 问：目前珠海产能中用于AI的部分比例是多少，能否全部用于AI生产？</w:t>
      </w:r>
    </w:p>
    <w:p>
      <w:r>
        <w:rPr>
          <w:rFonts w:ascii="等线(中文正文)" w:hAnsi="等线(中文正文)" w:cs="等线(中文正文)" w:eastAsia="等线(中文正文)"/>
          <w:b w:val="false"/>
          <w:i w:val="false"/>
          <w:sz w:val="20"/>
        </w:rPr>
        <w:t>发言人1 答：目前客户对我们的需求非常旺盛，我们每周都会与客户沟通产能和接单信息，确保能够按时交付订单。我们致力于提升良率和优化流程，以超出客户的预期。因此，不存在接单后无法交付的情况，而是通过提高效率和质量来满足客户需求。</w:t>
      </w:r>
    </w:p>
    <w:p>
      <w:r>
        <w:rPr>
          <w:rFonts w:ascii="等线(中文正文)" w:hAnsi="等线(中文正文)" w:cs="等线(中文正文)" w:eastAsia="等线(中文正文)"/>
          <w:b w:val="false"/>
          <w:i w:val="false"/>
          <w:sz w:val="20"/>
        </w:rPr>
        <w:t/>
      </w:r>
    </w:p>
    <w:p>
      <w:pPr>
        <w:pStyle w:val="ab"/>
      </w:pPr>
      <w:r>
        <w:t>发言人1 问：我们现有的厂房和产线是否已经准备好迎接客户增量订单，以及关于设备获取方面，是否已经锁定了较长时间且核心的设备供应链？</w:t>
      </w:r>
    </w:p>
    <w:p>
      <w:r>
        <w:rPr>
          <w:rFonts w:ascii="等线(中文正文)" w:hAnsi="等线(中文正文)" w:cs="等线(中文正文)" w:eastAsia="等线(中文正文)"/>
          <w:b w:val="false"/>
          <w:i w:val="false"/>
          <w:sz w:val="20"/>
        </w:rPr>
        <w:t>发言人1 答：是的，我们每天都在做梳理工作，确保能接单的数量，并在现有厂房中进行调整。去年我们投资超过15亿人民币对产线进行优化和改造，以应对客户的增量需求。目前新产能的释放工作正在进行中，以承接更多订单。同时，关于设备获取，许多关键设备的采购计划早在去年就已经完成，包括m stop产线的扩产设备，大部分在去年已经安排好，尽管今年年初追加了一部分，但整体上不存在主要瓶颈设备的影响。</w:t>
      </w:r>
    </w:p>
    <w:p>
      <w:r>
        <w:rPr>
          <w:rFonts w:ascii="等线(中文正文)" w:hAnsi="等线(中文正文)" w:cs="等线(中文正文)" w:eastAsia="等线(中文正文)"/>
          <w:b w:val="false"/>
          <w:i w:val="false"/>
          <w:sz w:val="20"/>
        </w:rPr>
        <w:t/>
      </w:r>
    </w:p>
    <w:p>
      <w:pPr>
        <w:pStyle w:val="ab"/>
      </w:pPr>
      <w:r>
        <w:t>发言人1 问：关于未来的产能扩张，是否已经与设备商锁定关键瓶颈设备的产能？</w:t>
      </w:r>
    </w:p>
    <w:p>
      <w:r>
        <w:rPr>
          <w:rFonts w:ascii="等线(中文正文)" w:hAnsi="等线(中文正文)" w:cs="等线(中文正文)" w:eastAsia="等线(中文正文)"/>
          <w:b w:val="false"/>
          <w:i w:val="false"/>
          <w:sz w:val="20"/>
        </w:rPr>
        <w:t>发言人1 答：是的，对于未来要开出的产能，我们已经与多个设备商谈妥并提前锁定了关键瓶颈设备的产能，例如钻机、压机、电路线、曝光机等。</w:t>
      </w:r>
    </w:p>
    <w:p>
      <w:r>
        <w:rPr>
          <w:rFonts w:ascii="等线(中文正文)" w:hAnsi="等线(中文正文)" w:cs="等线(中文正文)" w:eastAsia="等线(中文正文)"/>
          <w:b w:val="false"/>
          <w:i w:val="false"/>
          <w:sz w:val="20"/>
        </w:rPr>
        <w:t/>
      </w:r>
    </w:p>
    <w:p>
      <w:pPr>
        <w:pStyle w:val="ab"/>
      </w:pPr>
      <w:r>
        <w:t>发言人1 问：针对传统PCB业务，下半年盈利能力提升的节奏是怎样的？是否能在Q3或Q4看到盈利能力恢复到涨价前水平？</w:t>
      </w:r>
    </w:p>
    <w:p>
      <w:r>
        <w:rPr>
          <w:rFonts w:ascii="等线(中文正文)" w:hAnsi="等线(中文正文)" w:cs="等线(中文正文)" w:eastAsia="等线(中文正文)"/>
          <w:b w:val="false"/>
          <w:i w:val="false"/>
          <w:sz w:val="20"/>
        </w:rPr>
        <w:t>发言人1 答：我们坚持原则，将年初以来的成本上涨全部向下游客户传导。目前客户关注点集中在供应上，而非价格，因此我们对价格传导的力度充满信心。预计全年传统产品的毛利率水平不会低于去年，并且依据对下半年材料情况的判断，三季度和四季度的传导力度将不低于二季度。同时，我们会将一季度及二季度前期因涨价未能传导的成本叠加到接下来的几个季度中，确保全年毛利水平不低于去年的整体水平。</w:t>
      </w:r>
    </w:p>
    <w:p>
      <w:r>
        <w:rPr>
          <w:rFonts w:ascii="等线(中文正文)" w:hAnsi="等线(中文正文)" w:cs="等线(中文正文)" w:eastAsia="等线(中文正文)"/>
          <w:b w:val="false"/>
          <w:i w:val="false"/>
          <w:sz w:val="20"/>
        </w:rPr>
        <w:t/>
      </w:r>
    </w:p>
    <w:p>
      <w:pPr>
        <w:pStyle w:val="ab"/>
      </w:pPr>
      <w:r>
        <w:t>发言人1 问：从长远角度看，客户对28nm及更先进工艺的投资需求如何？以及在国内同行激烈竞争下，公司在高端PCB市场中的相对竞争优势是什么？</w:t>
      </w:r>
    </w:p>
    <w:p>
      <w:r>
        <w:rPr>
          <w:rFonts w:ascii="等线(中文正文)" w:hAnsi="等线(中文正文)" w:cs="等线(中文正文)" w:eastAsia="等线(中文正文)"/>
          <w:b w:val="false"/>
          <w:i w:val="false"/>
          <w:sz w:val="20"/>
        </w:rPr>
        <w:t>发言人1 答：AI领域的发展非常迅速，将持续对硬件产生高需求，这对包括PCB在内的整个电子行业都是积极信号。我们公司对未来高端市场发展持乐观态度，因为客户对长期供不应求的态势已有明确预期，这为PCB厂商提供了许多机遇。关于竞争优势，除了产能之外，有效且高质量的产能非常重要。此外，深入理解客户的技术发展方向、痛点难点，并从研发和技术层面帮助客户解决问题至关重要。同时，拥有稳定的客户群也是核心竞争力之一，只有这样才能确保长期稳定发展。</w:t>
      </w:r>
    </w:p>
    <w:p>
      <w:r>
        <w:rPr>
          <w:rFonts w:ascii="等线(中文正文)" w:hAnsi="等线(中文正文)" w:cs="等线(中文正文)" w:eastAsia="等线(中文正文)"/>
          <w:b w:val="false"/>
          <w:i w:val="false"/>
          <w:sz w:val="20"/>
        </w:rPr>
        <w:t/>
      </w:r>
    </w:p>
    <w:p>
      <w:pPr>
        <w:pStyle w:val="ab"/>
      </w:pPr>
      <w:r>
        <w:t>发言人1 问：面对中美地缘博弈加剧和供应链变化，如何平衡在海外和大陆扩产的节奏？</w:t>
      </w:r>
    </w:p>
    <w:p>
      <w:r>
        <w:rPr>
          <w:rFonts w:ascii="等线(中文正文)" w:hAnsi="等线(中文正文)" w:cs="等线(中文正文)" w:eastAsia="等线(中文正文)"/>
          <w:b w:val="false"/>
          <w:i w:val="false"/>
          <w:sz w:val="20"/>
        </w:rPr>
        <w:t>发言人1 答：我们的泰国工厂已经进入市场阶段，专注于AI相关领域，会积极布局海外市场以适应客户需求。客观来说，中国大陆在PCB技术和电子产品技术方面拥有全球领先的供应链资源，短期内无法替代。我们会持续发展内地的产能和资源，保持技术优势，同时根据客户需求和市场变化调整海外布局，确保有效产出。</w:t>
      </w:r>
    </w:p>
    <w:p>
      <w:r>
        <w:rPr>
          <w:rFonts w:ascii="等线(中文正文)" w:hAnsi="等线(中文正文)" w:cs="等线(中文正文)" w:eastAsia="等线(中文正文)"/>
          <w:b w:val="false"/>
          <w:i w:val="false"/>
          <w:sz w:val="20"/>
        </w:rPr>
        <w:t/>
      </w:r>
    </w:p>
    <w:p>
      <w:pPr>
        <w:pStyle w:val="ab"/>
      </w:pPr>
      <w:r>
        <w:t>发言人1 问：关于光化Msub细分品类，未来1到2个季度的价格趋势和毛利率趋势，投资者是否可以期待进一步调整空间？</w:t>
      </w:r>
    </w:p>
    <w:p>
      <w:r>
        <w:rPr>
          <w:rFonts w:ascii="等线(中文正文)" w:hAnsi="等线(中文正文)" w:cs="等线(中文正文)" w:eastAsia="等线(中文正文)"/>
          <w:b w:val="false"/>
          <w:i w:val="false"/>
          <w:sz w:val="20"/>
        </w:rPr>
        <w:t>发言人1 答：关于光化Msub细分品类的具体价格和毛利率趋势，不便透露太多细节，但过去我们已进行过调整并得到了客户的理解和支持。目前团队正努力提升良率以改善毛利率，一方面是通过客户给予的激励机制，另一方面团队也在积极寻求提前交付等方案以获得更多支持。我们会继续与客户沟通合作，共同面对市场变化。</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2026-08-24T01:01:13Z</dcterms:created>
  <dc:creator>Apache POI</dc:creator>
</cp:coreProperties>
</file>