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开源量化之声 · 2026 开源金融工程2026深度研究系列路演第5期 高频价格跳跃的峰、岭、谷信息 260823_导读</w:t>
      </w:r>
    </w:p>
    <w:p>
      <w:pPr>
        <w:pStyle w:val="a0"/>
        <w:jc w:val="center"/>
      </w:pPr>
      <w:r>
        <w:t>2026年08月24日 00:12</w:t>
      </w:r>
    </w:p>
    <w:p>
      <w:pPr>
        <w:pStyle w:val="a7"/>
      </w:pPr>
      <w:r>
        <w:t>关键词</w:t>
      </w:r>
    </w:p>
    <w:p>
      <w:r>
        <w:rPr>
          <w:rFonts w:ascii="等线(中文正文)" w:hAnsi="等线(中文正文)" w:cs="等线(中文正文)" w:eastAsia="等线(中文正文)"/>
          <w:b w:val="false"/>
          <w:i w:val="false"/>
          <w:sz w:val="20"/>
        </w:rPr>
        <w:t xml:space="preserve">高频价格跳跃 振幅 高振幅 低振幅 局域情绪 跳跃结果 有缺口 无缺口 因子 正向化 负向化 知情交易 动量因子 反转因子 跟随交易 自相关系数 IC均值 RCR 分组单调性 研究观点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对话集中讨论了量化投资策略中的高频价格跳跃分析，特别是对风力股的识别方法。通过分析振幅、局域情绪和跳跃结果等特征，能将股价数据标签化，有效区分出高、低振幅的股票类别。讨论深入探讨了振幅、价格变动趋势及价格缺口等因素对股票分类的影响，以及这些分类下股票的阿尔法特性。此外，展示了因子的有效性，并阐述了如何运用这些因子构建投资策略，实现超额收益。报告还强调了研究成果的使用限制和法律责任，旨在为专业投资者提供深入的市场理解与投资指导。</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高频价格跳跃与风电股信息分析</w:t>
      </w:r>
    </w:p>
    <w:p>
      <w:r>
        <w:rPr>
          <w:rFonts w:ascii="等线(中文正文)" w:hAnsi="等线(中文正文)" w:cs="等线(中文正文)" w:eastAsia="等线(中文正文)"/>
          <w:b w:val="false"/>
          <w:i w:val="false"/>
          <w:sz w:val="20"/>
        </w:rPr>
        <w:t>会议聚焦于高频价格跳跃在风电股中的应用，通过五分钟振幅区分高、低振幅，进一步将高振幅分为风和菱两类，揭示了两者信息的矛盾与势均力敌，为构建因子提供新视角。</w:t>
      </w:r>
    </w:p>
    <w:p>
      <w:r>
        <w:rPr>
          <w:rFonts w:ascii="等线(中文正文)" w:hAnsi="等线(中文正文)" w:cs="等线(中文正文)" w:eastAsia="等线(中文正文)"/>
          <w:b w:val="false"/>
          <w:i w:val="false"/>
          <w:sz w:val="20"/>
        </w:rPr>
        <w:t/>
      </w:r>
    </w:p>
    <w:p>
      <w:pPr>
        <w:pStyle w:val="ab"/>
        <w:numPr>
          <w:numId w:val="2"/>
        </w:numPr>
      </w:pPr>
      <w:r>
        <w:t>01:52 政府振幅分析与情绪特征分类</w:t>
      </w:r>
    </w:p>
    <w:p>
      <w:r>
        <w:rPr>
          <w:rFonts w:ascii="等线(中文正文)" w:hAnsi="等线(中文正文)" w:cs="等线(中文正文)" w:eastAsia="等线(中文正文)"/>
          <w:b w:val="false"/>
          <w:i w:val="false"/>
          <w:sz w:val="20"/>
        </w:rPr>
        <w:t>通过20天分钟振幅面板数据，纵向比较交易日振幅高低，结合局域情绪和跳跃结果进行交叉分类，分析不同情绪状态下的样本量与阿尔法特性，发现情绪高低与市场表现正负向化的关系，同时区分有无缺口的跳跃结果特征。</w:t>
      </w:r>
    </w:p>
    <w:p>
      <w:r>
        <w:rPr>
          <w:rFonts w:ascii="等线(中文正文)" w:hAnsi="等线(中文正文)" w:cs="等线(中文正文)" w:eastAsia="等线(中文正文)"/>
          <w:b w:val="false"/>
          <w:i w:val="false"/>
          <w:sz w:val="20"/>
        </w:rPr>
        <w:t/>
      </w:r>
    </w:p>
    <w:p>
      <w:pPr>
        <w:pStyle w:val="ab"/>
        <w:numPr>
          <w:numId w:val="3"/>
        </w:numPr>
      </w:pPr>
      <w:r>
        <w:t>03:53 振幅与价格缺口对股市流动性影响分析</w:t>
      </w:r>
    </w:p>
    <w:p>
      <w:r>
        <w:rPr>
          <w:rFonts w:ascii="等线(中文正文)" w:hAnsi="等线(中文正文)" w:cs="等线(中文正文)" w:eastAsia="等线(中文正文)"/>
          <w:b w:val="false"/>
          <w:i w:val="false"/>
          <w:sz w:val="20"/>
        </w:rPr>
        <w:t>对话探讨了通过分析振幅高低和价格缺口来判断股市流动性状态的方法。高振幅情况下，依据价格冲击前后区间是否有交集，即是否有缺口，来评估流动性调节能力和价格冲击影响。无缺口代表价格冲击快速消化，流动性充裕；有缺口则价格冲击影响大，流动性调节弱。结合情绪高低与价格缺口状态，划分出不同流动性特征的时间段，用于指导投资决策。</w:t>
      </w:r>
    </w:p>
    <w:p>
      <w:r>
        <w:rPr>
          <w:rFonts w:ascii="等线(中文正文)" w:hAnsi="等线(中文正文)" w:cs="等线(中文正文)" w:eastAsia="等线(中文正文)"/>
          <w:b w:val="false"/>
          <w:i w:val="false"/>
          <w:sz w:val="20"/>
        </w:rPr>
        <w:t/>
      </w:r>
    </w:p>
    <w:p>
      <w:pPr>
        <w:pStyle w:val="ab"/>
        <w:numPr>
          <w:numId w:val="4"/>
        </w:numPr>
      </w:pPr>
      <w:r>
        <w:t>05:42 分类股试点分析与因子构建</w:t>
      </w:r>
    </w:p>
    <w:p>
      <w:r>
        <w:rPr>
          <w:rFonts w:ascii="等线(中文正文)" w:hAnsi="等线(中文正文)" w:cs="等线(中文正文)" w:eastAsia="等线(中文正文)"/>
          <w:b w:val="false"/>
          <w:i w:val="false"/>
          <w:sz w:val="20"/>
        </w:rPr>
        <w:t>对话围绕分类股试点的划分及其对因子构建的影响展开，指出价里样本量少于价中，价格样本量最多。基于三类试点，构建了11大类17个因子，其中价值和价格类因子分别反映知情交易者和散户行为，价格试点则更多涉及品类因子。价值特征为情绪偏低、价格冲击快速恢复，价格特征为情绪偏高、价格缺口难恢复，价格试点前期低迷，新信息含量少。</w:t>
      </w:r>
    </w:p>
    <w:p>
      <w:r>
        <w:rPr>
          <w:rFonts w:ascii="等线(中文正文)" w:hAnsi="等线(中文正文)" w:cs="等线(中文正文)" w:eastAsia="等线(中文正文)"/>
          <w:b w:val="false"/>
          <w:i w:val="false"/>
          <w:sz w:val="20"/>
        </w:rPr>
        <w:t/>
      </w:r>
    </w:p>
    <w:p>
      <w:pPr>
        <w:pStyle w:val="ab"/>
        <w:numPr>
          <w:numId w:val="5"/>
        </w:numPr>
      </w:pPr>
      <w:r>
        <w:t>07:10 因子分析与市场表现评估</w:t>
      </w:r>
    </w:p>
    <w:p>
      <w:r>
        <w:rPr>
          <w:rFonts w:ascii="等线(中文正文)" w:hAnsi="等线(中文正文)" w:cs="等线(中文正文)" w:eastAsia="等线(中文正文)"/>
          <w:b w:val="false"/>
          <w:i w:val="false"/>
          <w:sz w:val="20"/>
        </w:rPr>
        <w:t>报告分析了17个因子的SR表现，聚焦于加分分钟数、价格分钟收益、价格相对加权价、驾龄间隔偏度等因子，讨论其构建逻辑、IC值、分组收益及市场表现，揭示了因子的有效性与市场适应性。</w:t>
      </w:r>
    </w:p>
    <w:p>
      <w:r>
        <w:rPr>
          <w:rFonts w:ascii="等线(中文正文)" w:hAnsi="等线(中文正文)" w:cs="等线(中文正文)" w:eastAsia="等线(中文正文)"/>
          <w:b w:val="false"/>
          <w:i w:val="false"/>
          <w:sz w:val="20"/>
        </w:rPr>
        <w:t/>
      </w:r>
    </w:p>
    <w:p>
      <w:pPr>
        <w:pStyle w:val="ab"/>
        <w:numPr>
          <w:numId w:val="6"/>
        </w:numPr>
      </w:pPr>
      <w:r>
        <w:t>10:41 价格跳跃成交相关性因子及其市场表现分析</w:t>
      </w:r>
    </w:p>
    <w:p>
      <w:r>
        <w:rPr>
          <w:rFonts w:ascii="等线(中文正文)" w:hAnsi="等线(中文正文)" w:cs="等线(中文正文)" w:eastAsia="等线(中文正文)"/>
          <w:b w:val="false"/>
          <w:i w:val="false"/>
          <w:sz w:val="20"/>
        </w:rPr>
        <w:t>价格跳跃成交相关性因子衡量了价格冲击后散户跟随交易的程度，是一个负向因子。通过计算过去20天价格跳跃时间点的成交金额与下一分钟成交金额的自相关系数，发现相关性越高，散户跟随交易越强。该因子在多头和多空策略中表现优异，特别是在300、500和1000指数中分别取得了显著的收益。此外，该因子在波动率和流动性风格下有较高暴露，而在收益和价格类风格下暴露较低。</w:t>
      </w:r>
    </w:p>
    <w:p>
      <w:r>
        <w:rPr>
          <w:rFonts w:ascii="等线(中文正文)" w:hAnsi="等线(中文正文)" w:cs="等线(中文正文)" w:eastAsia="等线(中文正文)"/>
          <w:b w:val="false"/>
          <w:i w:val="false"/>
          <w:sz w:val="20"/>
        </w:rPr>
        <w:t/>
      </w:r>
    </w:p>
    <w:p>
      <w:pPr>
        <w:pStyle w:val="ab"/>
        <w:numPr>
          <w:numId w:val="7"/>
        </w:numPr>
      </w:pPr>
      <w:r>
        <w:t>12:03 因子构建与市场风格对流动性影响分析</w:t>
      </w:r>
    </w:p>
    <w:p>
      <w:r>
        <w:rPr>
          <w:rFonts w:ascii="等线(中文正文)" w:hAnsi="等线(中文正文)" w:cs="等线(中文正文)" w:eastAsia="等线(中文正文)"/>
          <w:b w:val="false"/>
          <w:i w:val="false"/>
          <w:sz w:val="20"/>
        </w:rPr>
        <w:t>讨论了因子构建中风和丙的划分对流动性和波动率暴露水平的影响，指出风的因子在波动率流动性上的暴露更低。通过对比全市场、市场行业中心及二行业中心的因子效果变化，发现剔除加班风格后因子仍有效，但IC值减半，ICR影响较小，稳定性提高，尤其对巴西均值影响更显著。</w:t>
      </w:r>
    </w:p>
    <w:p>
      <w:r>
        <w:rPr>
          <w:rFonts w:ascii="等线(中文正文)" w:hAnsi="等线(中文正文)" w:cs="等线(中文正文)" w:eastAsia="等线(中文正文)"/>
          <w:b w:val="false"/>
          <w:i w:val="false"/>
          <w:sz w:val="20"/>
        </w:rPr>
        <w:t/>
      </w:r>
    </w:p>
    <w:p>
      <w:pPr>
        <w:pStyle w:val="ab"/>
        <w:numPr>
          <w:numId w:val="8"/>
        </w:numPr>
      </w:pPr>
      <w:r>
        <w:t>13:31 因子分析与合成策略在指数增强中的应用</w:t>
      </w:r>
    </w:p>
    <w:p>
      <w:r>
        <w:rPr>
          <w:rFonts w:ascii="等线(中文正文)" w:hAnsi="等线(中文正文)" w:cs="等线(中文正文)" w:eastAsia="等线(中文正文)"/>
          <w:b w:val="false"/>
          <w:i w:val="false"/>
          <w:sz w:val="20"/>
        </w:rPr>
        <w:t>报告通过因子分析，筛选出12个具有独立阿尔法的因子，合成后在多个指数增强组合中实现显著超额收益，年化收益与超年化收益表现优异。</w:t>
      </w:r>
    </w:p>
    <w:p>
      <w:r>
        <w:rPr>
          <w:rFonts w:ascii="等线(中文正文)" w:hAnsi="等线(中文正文)" w:cs="等线(中文正文)" w:eastAsia="等线(中文正文)"/>
          <w:b w:val="false"/>
          <w:i w:val="false"/>
          <w:sz w:val="20"/>
        </w:rPr>
        <w:t/>
      </w:r>
    </w:p>
    <w:p>
      <w:pPr>
        <w:pStyle w:val="ab"/>
        <w:numPr>
          <w:numId w:val="9"/>
        </w:numPr>
      </w:pPr>
      <w:r>
        <w:t>16:18 市场风格分化与指数表现分析</w:t>
      </w:r>
    </w:p>
    <w:p>
      <w:r>
        <w:rPr>
          <w:rFonts w:ascii="等线(中文正文)" w:hAnsi="等线(中文正文)" w:cs="等线(中文正文)" w:eastAsia="等线(中文正文)"/>
          <w:b w:val="false"/>
          <w:i w:val="false"/>
          <w:sz w:val="20"/>
        </w:rPr>
        <w:t>对话深入探讨了不同市场指数在特定年份的表现，指出300指数在多数年份跑赢，而500与1000指数因成长风格的极致分化，在近两年跑输。分析强调了市场风格对指数表现的影响，并回顾了六个因子的样本外绩效，表明整体表现稳健。最后，分享了研究资源获取途径及免责声明。</w:t>
      </w:r>
    </w:p>
    <w:p>
      <w:r>
        <w:rPr>
          <w:rFonts w:ascii="等线(中文正文)" w:hAnsi="等线(中文正文)" w:cs="等线(中文正文)" w:eastAsia="等线(中文正文)"/>
          <w:b w:val="false"/>
          <w:i w:val="false"/>
          <w:sz w:val="20"/>
        </w:rPr>
        <w:t/>
      </w:r>
    </w:p>
    <w:p>
      <w:pPr>
        <w:pStyle w:val="a7"/>
      </w:pPr>
      <w:r>
        <w:t>发言总结</w:t>
      </w:r>
    </w:p>
    <w:p>
      <w:pPr>
        <w:pStyle w:val="ab"/>
        <w:numPr>
          <w:numId w:val="10"/>
        </w:numPr>
      </w:pPr>
      <w:r>
        <w:t>发言人1</w:t>
      </w:r>
    </w:p>
    <w:p>
      <w:r>
        <w:rPr>
          <w:rFonts w:ascii="等线(中文正文)" w:hAnsi="等线(中文正文)" w:cs="等线(中文正文)" w:eastAsia="等线(中文正文)"/>
          <w:b w:val="false"/>
          <w:i w:val="false"/>
          <w:sz w:val="20"/>
        </w:rPr>
        <w:t>他在开源量化之声2026第五期路演中，深入探讨了高频价格跳跃信息的量化分析，特别是关注于通过价格振幅来识别“风铃谷”中股性的特征及其对投资策略的影响。他提出，通过分析五分钟内最高最低价之间的振幅，可将股票分为高振幅和低振幅两类，并进一步细分为基于局域情绪和跳跃结果的子类。利用这些信息，他介绍了如何构建因子模型以识别在特定条件下具有超额收益的股票。他强调，所有分享仅为研究交流，并非投资建议，重申了对未经许可录音、转发等行为的禁止，以维护信息的准确性和合法性。此次路演旨在与专业投资机构客户分享高频量化研究的最新成果，凸显了新媒体背景下研究观点交流的重要性。</w:t>
      </w:r>
    </w:p>
    <w:p>
      <w:r>
        <w:rPr>
          <w:rFonts w:ascii="等线(中文正文)" w:hAnsi="等线(中文正文)" w:cs="等线(中文正文)" w:eastAsia="等线(中文正文)"/>
          <w:b w:val="false"/>
          <w:i w:val="false"/>
          <w:sz w:val="20"/>
        </w:rPr>
        <w:t/>
      </w:r>
    </w:p>
    <w:p>
      <w:pPr>
        <w:pStyle w:val="a7"/>
      </w:pPr>
      <w:r>
        <w:t>要点回顾</w:t>
      </w:r>
    </w:p>
    <w:p>
      <w:pPr>
        <w:pStyle w:val="ab"/>
      </w:pPr>
      <w:r>
        <w:t>在风铃谷系列报告中，你们是如何对高频价格数据进行标签化的？您今天要分享的主题是什么？</w:t>
      </w:r>
    </w:p>
    <w:p>
      <w:r>
        <w:rPr>
          <w:rFonts w:ascii="等线(中文正文)" w:hAnsi="等线(中文正文)" w:cs="等线(中文正文)" w:eastAsia="等线(中文正文)"/>
          <w:b w:val="false"/>
          <w:i w:val="false"/>
          <w:sz w:val="20"/>
        </w:rPr>
        <w:t>发言人1：我们通过一些特征对五分钟的高频价格数据进行打标签，将其分为风铃谷三类试点。然后基于这些时点构建了一系列因子。今天要分享的主题是高频价格跳跃的风力股信息，我们利用最高最低价之间的幅度（五分钟振幅）衡量价格跳跃，并将振幅分为高振幅和低振幅两类。</w:t>
      </w:r>
    </w:p>
    <w:p>
      <w:r>
        <w:rPr>
          <w:rFonts w:ascii="等线(中文正文)" w:hAnsi="等线(中文正文)" w:cs="等线(中文正文)" w:eastAsia="等线(中文正文)"/>
          <w:b w:val="false"/>
          <w:i w:val="false"/>
          <w:sz w:val="20"/>
        </w:rPr>
        <w:t/>
      </w:r>
    </w:p>
    <w:p>
      <w:pPr>
        <w:pStyle w:val="ab"/>
      </w:pPr>
      <w:r>
        <w:t>对于高振幅部分，你们又做了怎样的进一步划分？</w:t>
      </w:r>
    </w:p>
    <w:p>
      <w:r>
        <w:rPr>
          <w:rFonts w:ascii="等线(中文正文)" w:hAnsi="等线(中文正文)" w:cs="等线(中文正文)" w:eastAsia="等线(中文正文)"/>
          <w:b w:val="false"/>
          <w:i w:val="false"/>
          <w:sz w:val="20"/>
        </w:rPr>
        <w:t>发言人1：对于高振幅部分，我们结合局域情绪和跳跃结果两个特征进行了交叉分类。局域情绪通过前后一分钟振幅的高低对比来划分四类状态。同时，根据价格区间是否有交集判断是否存在缺口，从而区分出两类：无缺口和有缺口。</w:t>
      </w:r>
    </w:p>
    <w:p>
      <w:r>
        <w:rPr>
          <w:rFonts w:ascii="等线(中文正文)" w:hAnsi="等线(中文正文)" w:cs="等线(中文正文)" w:eastAsia="等线(中文正文)"/>
          <w:b w:val="false"/>
          <w:i w:val="false"/>
          <w:sz w:val="20"/>
        </w:rPr>
        <w:t/>
      </w:r>
    </w:p>
    <w:p>
      <w:pPr>
        <w:pStyle w:val="ab"/>
      </w:pPr>
      <w:r>
        <w:t>如何判断振幅高低并进行分类？</w:t>
      </w:r>
    </w:p>
    <w:p>
      <w:r>
        <w:rPr>
          <w:rFonts w:ascii="等线(中文正文)" w:hAnsi="等线(中文正文)" w:cs="等线(中文正文)" w:eastAsia="等线(中文正文)"/>
          <w:b w:val="false"/>
          <w:i w:val="false"/>
          <w:sz w:val="20"/>
        </w:rPr>
        <w:t>发言人1：我们根据过去20天内某分钟振幅的均值加上一个阈值来判断其高低。高于阈值的是高振幅，低于阈值的是低振幅，低振幅对应风电股。</w:t>
      </w:r>
    </w:p>
    <w:p>
      <w:r>
        <w:rPr>
          <w:rFonts w:ascii="等线(中文正文)" w:hAnsi="等线(中文正文)" w:cs="等线(中文正文)" w:eastAsia="等线(中文正文)"/>
          <w:b w:val="false"/>
          <w:i w:val="false"/>
          <w:sz w:val="20"/>
        </w:rPr>
        <w:t/>
      </w:r>
    </w:p>
    <w:p>
      <w:pPr>
        <w:pStyle w:val="ab"/>
      </w:pPr>
      <w:r>
        <w:t>缺口的存在代表了什么？</w:t>
      </w:r>
    </w:p>
    <w:p>
      <w:r>
        <w:rPr>
          <w:rFonts w:ascii="等线(中文正文)" w:hAnsi="等线(中文正文)" w:cs="等线(中文正文)" w:eastAsia="等线(中文正文)"/>
          <w:b w:val="false"/>
          <w:i w:val="false"/>
          <w:sz w:val="20"/>
        </w:rPr>
        <w:t>发言人1：当价格冲击没有形成缺口时，说明股价快速回到冲击前的价格水平，即价格冲击消化速度很快，流动性条件相对充裕；若有缺口，则表明价格冲击的影响较大，流动性调节相对较弱。</w:t>
      </w:r>
    </w:p>
    <w:p>
      <w:r>
        <w:rPr>
          <w:rFonts w:ascii="等线(中文正文)" w:hAnsi="等线(中文正文)" w:cs="等线(中文正文)" w:eastAsia="等线(中文正文)"/>
          <w:b w:val="false"/>
          <w:i w:val="false"/>
          <w:sz w:val="20"/>
        </w:rPr>
        <w:t/>
      </w:r>
    </w:p>
    <w:p>
      <w:pPr>
        <w:pStyle w:val="ab"/>
      </w:pPr>
      <w:r>
        <w:t>如何利用上述分类结果指导投资策略？</w:t>
      </w:r>
    </w:p>
    <w:p>
      <w:r>
        <w:rPr>
          <w:rFonts w:ascii="等线(中文正文)" w:hAnsi="等线(中文正文)" w:cs="等线(中文正文)" w:eastAsia="等线(中文正文)"/>
          <w:b w:val="false"/>
          <w:i w:val="false"/>
          <w:sz w:val="20"/>
        </w:rPr>
        <w:t>发言人1：根据局域情绪和价格冲击是否有缺口的分类结果，将情绪偏低且价格冲击影响较小的三类时间标记为加分项；而局域情绪偏高且价格冲击影响较大的三类时间标记为减分项，这是报告中对峰顶股的具体划分依据。</w:t>
      </w:r>
    </w:p>
    <w:p>
      <w:r>
        <w:rPr>
          <w:rFonts w:ascii="等线(中文正文)" w:hAnsi="等线(中文正文)" w:cs="等线(中文正文)" w:eastAsia="等线(中文正文)"/>
          <w:b w:val="false"/>
          <w:i w:val="false"/>
          <w:sz w:val="20"/>
        </w:rPr>
        <w:t/>
      </w:r>
    </w:p>
    <w:p>
      <w:pPr>
        <w:pStyle w:val="ab"/>
      </w:pPr>
      <w:r>
        <w:t>价格试点的特点以及基于此类试点构建的因子性质如何？</w:t>
      </w:r>
    </w:p>
    <w:p>
      <w:r>
        <w:rPr>
          <w:rFonts w:ascii="等线(中文正文)" w:hAnsi="等线(中文正文)" w:cs="等线(中文正文)" w:eastAsia="等线(中文正文)"/>
          <w:b w:val="false"/>
          <w:i w:val="false"/>
          <w:sz w:val="20"/>
        </w:rPr>
        <w:t>发言人1：价格试点时点局域情绪偏高，价格冲击可能导致价格缺口难以恢复，其特征与散户跟随交易更为一致。因此，基于此类试点构建的因子主要反映散户的交易行为，为减负小二化因子。</w:t>
      </w:r>
    </w:p>
    <w:p>
      <w:r>
        <w:rPr>
          <w:rFonts w:ascii="等线(中文正文)" w:hAnsi="等线(中文正文)" w:cs="等线(中文正文)" w:eastAsia="等线(中文正文)"/>
          <w:b w:val="false"/>
          <w:i w:val="false"/>
          <w:sz w:val="20"/>
        </w:rPr>
        <w:t/>
      </w:r>
    </w:p>
    <w:p>
      <w:pPr>
        <w:pStyle w:val="ab"/>
      </w:pPr>
      <w:r>
        <w:t>价值和价格试点的特点及其对应的因子性质是什么？</w:t>
      </w:r>
    </w:p>
    <w:p>
      <w:r>
        <w:rPr>
          <w:rFonts w:ascii="等线(中文正文)" w:hAnsi="等线(中文正文)" w:cs="等线(中文正文)" w:eastAsia="等线(中文正文)"/>
          <w:b w:val="false"/>
          <w:i w:val="false"/>
          <w:sz w:val="20"/>
        </w:rPr>
        <w:t>发言人1：价值试点具有高增幅和交易活跃的特点，其时间特征表现为情绪偏低且价格冲击后能快速恢复，这与知情交易者的交易行为更相符，因此我们构建的因子主要是反映知情交易者的正向行为，即正向28因子。</w:t>
      </w:r>
    </w:p>
    <w:p>
      <w:r>
        <w:rPr>
          <w:rFonts w:ascii="等线(中文正文)" w:hAnsi="等线(中文正文)" w:cs="等线(中文正文)" w:eastAsia="等线(中文正文)"/>
          <w:b w:val="false"/>
          <w:i w:val="false"/>
          <w:sz w:val="20"/>
        </w:rPr>
        <w:t/>
      </w:r>
    </w:p>
    <w:p>
      <w:pPr>
        <w:pStyle w:val="ab"/>
      </w:pPr>
      <w:r>
        <w:t>对于价格低迷试点，该类事件的新信息含量相对较少，基于此构建的因子有何特点？</w:t>
      </w:r>
    </w:p>
    <w:p>
      <w:r>
        <w:rPr>
          <w:rFonts w:ascii="等线(中文正文)" w:hAnsi="等线(中文正文)" w:cs="等线(中文正文)" w:eastAsia="等线(中文正文)"/>
          <w:b w:val="false"/>
          <w:i w:val="false"/>
          <w:sz w:val="20"/>
        </w:rPr>
        <w:t>发言人1：价格低迷试点的新信息含量较少，基于此构建的因子更多关注品类逻辑，测试偏低时价格过度反应的概率较低，这类因子通常为多因子，如三维价值或加权价格分位点。</w:t>
      </w:r>
    </w:p>
    <w:p>
      <w:r>
        <w:rPr>
          <w:rFonts w:ascii="等线(中文正文)" w:hAnsi="等线(中文正文)" w:cs="等线(中文正文)" w:eastAsia="等线(中文正文)"/>
          <w:b w:val="false"/>
          <w:i w:val="false"/>
          <w:sz w:val="20"/>
        </w:rPr>
        <w:t/>
      </w:r>
    </w:p>
    <w:p>
      <w:pPr>
        <w:pStyle w:val="ab"/>
      </w:pPr>
      <w:r>
        <w:t>在报告中，您基于三类试点划分构建了哪些因子，并且这些因子的有效性如何？您在报告中挑选了五个因子进行详细介绍，能否分享一下这些因子的SR表现和有效性？</w:t>
      </w:r>
    </w:p>
    <w:p>
      <w:r>
        <w:rPr>
          <w:rFonts w:ascii="等线(中文正文)" w:hAnsi="等线(中文正文)" w:cs="等线(中文正文)" w:eastAsia="等线(中文正文)"/>
          <w:b w:val="false"/>
          <w:i w:val="false"/>
          <w:sz w:val="20"/>
        </w:rPr>
        <w:t>发言人1：我们构建了17个因子，其中包含了11个大类。具体有效性方面，报告中列出了各个类别下因子的一个示意表格，勾选的即为有效因子，未勾选的是无效因子。报告中详细介绍了五个因子，它们涵盖了大部分因子并且在后续验证中表现出明显的独立效应。例如，加分分钟数因子衡量的是交易参与频率，其IC均值为6.4，RCR为3.0，在不同市场分组中均取得了正收益；价格的分钟收益因子则反映散户交易特征，IC为负8.5，ICR为负3.8，同样在多头和多空分组中表现出显著收益。</w:t>
      </w:r>
    </w:p>
    <w:p>
      <w:r>
        <w:rPr>
          <w:rFonts w:ascii="等线(中文正文)" w:hAnsi="等线(中文正文)" w:cs="等线(中文正文)" w:eastAsia="等线(中文正文)"/>
          <w:b w:val="false"/>
          <w:i w:val="false"/>
          <w:sz w:val="20"/>
        </w:rPr>
        <w:t/>
      </w:r>
    </w:p>
    <w:p>
      <w:pPr>
        <w:pStyle w:val="ab"/>
      </w:pPr>
      <w:r>
        <w:t>报告中的其他因子如相对加权价、价格跳跃成交的相关性等分别有何特点和表现？</w:t>
      </w:r>
    </w:p>
    <w:p>
      <w:r>
        <w:rPr>
          <w:rFonts w:ascii="等线(中文正文)" w:hAnsi="等线(中文正文)" w:cs="等线(中文正文)" w:eastAsia="等线(中文正文)"/>
          <w:b w:val="false"/>
          <w:i w:val="false"/>
          <w:sz w:val="20"/>
        </w:rPr>
        <w:t>发言人1：相对加权价因子用于衡量持续低迷时点的价格动量，IC为6.57，R为4.0，多头和多空分组均获得正收益，但分组单调性一般；价格跳跃成交的相关性因子通过计算价格冲击后资金跟随交易的程度（即散户跟随交易特点），得出负向因子，IC为负7.8，RC2为负3.5，多头和多空分组也表现出显著收益。</w:t>
      </w:r>
    </w:p>
    <w:p>
      <w:r>
        <w:rPr>
          <w:rFonts w:ascii="等线(中文正文)" w:hAnsi="等线(中文正文)" w:cs="等线(中文正文)" w:eastAsia="等线(中文正文)"/>
          <w:b w:val="false"/>
          <w:i w:val="false"/>
          <w:sz w:val="20"/>
        </w:rPr>
        <w:t/>
      </w:r>
    </w:p>
    <w:p>
      <w:pPr>
        <w:pStyle w:val="ab"/>
      </w:pPr>
      <w:r>
        <w:t>在17个因子中，哪个因子表现最强？</w:t>
      </w:r>
    </w:p>
    <w:p>
      <w:r>
        <w:rPr>
          <w:rFonts w:ascii="等线(中文正文)" w:hAnsi="等线(中文正文)" w:cs="等线(中文正文)" w:eastAsia="等线(中文正文)"/>
          <w:b w:val="false"/>
          <w:i w:val="false"/>
          <w:sz w:val="20"/>
        </w:rPr>
        <w:t>发言人1：在17个因子中，有一个因子表现最强，其IC值为负10.22C2，多头收益是17个点，多空收益为31个点。</w:t>
      </w:r>
    </w:p>
    <w:p>
      <w:r>
        <w:rPr>
          <w:rFonts w:ascii="等线(中文正文)" w:hAnsi="等线(中文正文)" w:cs="等线(中文正文)" w:eastAsia="等线(中文正文)"/>
          <w:b w:val="false"/>
          <w:i w:val="false"/>
          <w:sz w:val="20"/>
        </w:rPr>
        <w:t/>
      </w:r>
    </w:p>
    <w:p>
      <w:pPr>
        <w:pStyle w:val="ab"/>
      </w:pPr>
      <w:r>
        <w:t>这些因子在风格暴露上有什么特点？</w:t>
      </w:r>
    </w:p>
    <w:p>
      <w:r>
        <w:rPr>
          <w:rFonts w:ascii="等线(中文正文)" w:hAnsi="等线(中文正文)" w:cs="等线(中文正文)" w:eastAsia="等线(中文正文)"/>
          <w:b w:val="false"/>
          <w:i w:val="false"/>
          <w:sz w:val="20"/>
        </w:rPr>
        <w:t>发言人1：这些因子在风格暴露上主要集中在波动率和流动性这两个风格下，尤其是分钟数类和成交金额类因子在这两个风格下的暴露水平相对较高，而收益和价格类因子暴露水平较低。</w:t>
      </w:r>
    </w:p>
    <w:p>
      <w:r>
        <w:rPr>
          <w:rFonts w:ascii="等线(中文正文)" w:hAnsi="等线(中文正文)" w:cs="等线(中文正文)" w:eastAsia="等线(中文正文)"/>
          <w:b w:val="false"/>
          <w:i w:val="false"/>
          <w:sz w:val="20"/>
        </w:rPr>
        <w:t/>
      </w:r>
    </w:p>
    <w:p>
      <w:pPr>
        <w:pStyle w:val="ab"/>
      </w:pPr>
      <w:r>
        <w:t>风和领两个划分标准对因子暴露有何影响？</w:t>
      </w:r>
    </w:p>
    <w:p>
      <w:r>
        <w:rPr>
          <w:rFonts w:ascii="等线(中文正文)" w:hAnsi="等线(中文正文)" w:cs="等线(中文正文)" w:eastAsia="等线(中文正文)"/>
          <w:b w:val="false"/>
          <w:i w:val="false"/>
          <w:sz w:val="20"/>
        </w:rPr>
        <w:t>发言人1：风因子因其要求价格升级后快速回复无价格缺口，流动性更好，所以在波动率流动性上的暴露水平相较于其他因子会低一些。而领的划分标准允许价格冲击后有缺口，导致其流动性条件相对较弱，因此相关因子在波动率流动性上的暴露也较低。</w:t>
      </w:r>
    </w:p>
    <w:p>
      <w:r>
        <w:rPr>
          <w:rFonts w:ascii="等线(中文正文)" w:hAnsi="等线(中文正文)" w:cs="等线(中文正文)" w:eastAsia="等线(中文正文)"/>
          <w:b w:val="false"/>
          <w:i w:val="false"/>
          <w:sz w:val="20"/>
        </w:rPr>
        <w:t/>
      </w:r>
    </w:p>
    <w:p>
      <w:pPr>
        <w:pStyle w:val="ab"/>
      </w:pPr>
      <w:r>
        <w:t>因子效果在市场行业中心变化如何？</w:t>
      </w:r>
    </w:p>
    <w:p>
      <w:r>
        <w:rPr>
          <w:rFonts w:ascii="等线(中文正文)" w:hAnsi="等线(中文正文)" w:cs="等线(中文正文)" w:eastAsia="等线(中文正文)"/>
          <w:b w:val="false"/>
          <w:i w:val="false"/>
          <w:sz w:val="20"/>
        </w:rPr>
        <w:t>发言人1：在市场行业中心与市场行业中心下，因子效果存在明显差异。例如，某些因子在市场行业中心条件下的IC值相比原始水平下降了一半左右，但在稳定性上有所提高，并且大部分因子在剔除特定风格后依然有效。</w:t>
      </w:r>
    </w:p>
    <w:p>
      <w:r>
        <w:rPr>
          <w:rFonts w:ascii="等线(中文正文)" w:hAnsi="等线(中文正文)" w:cs="等线(中文正文)" w:eastAsia="等线(中文正文)"/>
          <w:b w:val="false"/>
          <w:i w:val="false"/>
          <w:sz w:val="20"/>
        </w:rPr>
        <w:t/>
      </w:r>
    </w:p>
    <w:p>
      <w:pPr>
        <w:pStyle w:val="ab"/>
      </w:pPr>
      <w:r>
        <w:t>因子间是否存在高相关性？通过量基础剔除法得到了哪些结果？</w:t>
      </w:r>
    </w:p>
    <w:p>
      <w:r>
        <w:rPr>
          <w:rFonts w:ascii="等线(中文正文)" w:hAnsi="等线(中文正文)" w:cs="等线(中文正文)" w:eastAsia="等线(中文正文)"/>
          <w:b w:val="false"/>
          <w:i w:val="false"/>
          <w:sz w:val="20"/>
        </w:rPr>
        <w:t>发言人1：报告中提到，由于大部分因子基于相同时间划分构建，且部分因子逻辑相似，导致因子间相关性较高。后续研究验证了哪些因子能在其他因子基础上提供独立阿尔法，哪些因子能被其他因子解释。通过量基础剔除法对比不同因子组合后的结果，发现有12个因子不能被其他因子完全解释，这些因子具有独立阿尔法。同时，合成后的因子组合表现出较好的收益能力和分组单调性，以及在不同指数上的增强效果。</w:t>
      </w:r>
    </w:p>
    <w:p>
      <w:r>
        <w:rPr>
          <w:rFonts w:ascii="等线(中文正文)" w:hAnsi="等线(中文正文)" w:cs="等线(中文正文)" w:eastAsia="等线(中文正文)"/>
          <w:b w:val="false"/>
          <w:i w:val="false"/>
          <w:sz w:val="20"/>
        </w:rPr>
        <w:t/>
      </w:r>
    </w:p>
    <w:p>
      <w:pPr>
        <w:pStyle w:val="ab"/>
      </w:pPr>
      <w:r>
        <w:t>合成因子在实际应用中的表现如何？因子表现最强的年份是哪些？</w:t>
      </w:r>
    </w:p>
    <w:p>
      <w:r>
        <w:rPr>
          <w:rFonts w:ascii="等线(中文正文)" w:hAnsi="等线(中文正文)" w:cs="等线(中文正文)" w:eastAsia="等线(中文正文)"/>
          <w:b w:val="false"/>
          <w:i w:val="false"/>
          <w:sz w:val="20"/>
        </w:rPr>
        <w:t>发言人1：将合成因子应用于实际组合构建中，针对300、500和1000指数的增强组合分别实现了年化收益12个点、15个点和13个点，相较于对应指数超额收益分别为6个点、11个点和11个点。在300指数中，除19年外，其他年份该因子均跑赢了指数；而在500和1000指数上，由于成长风格分化的原因，该因子在最近两年没有跑赢指数，但在其他年份表现较好。</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2026-08-23T16:26:27Z</dcterms:created>
  <dc:creator>Apache POI</dc:creator>
</cp:coreProperties>
</file>