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开源量化之声 · 2026 开源金融工程2026深度研究系列路演第5期 高频价格跳跃的峰、岭、谷信息 260823_原文</w:t>
      </w:r>
    </w:p>
    <w:p>
      <w:pPr>
        <w:jc w:val="center"/>
      </w:pPr>
      <w:r>
        <w:rPr>
          <w:rFonts w:ascii="等线(中文正文)" w:hAnsi="等线(中文正文)" w:cs="等线(中文正文)" w:eastAsia="等线(中文正文)"/>
          <w:b w:val="false"/>
          <w:i w:val="false"/>
          <w:sz w:val="20"/>
        </w:rPr>
        <w:t>2026年08月24日 00:12</w:t>
      </w:r>
    </w:p>
    <w:p>
      <w:r>
        <w:rPr>
          <w:rFonts w:ascii="等线(中文正文)" w:hAnsi="等线(中文正文)" w:cs="等线(中文正文)" w:eastAsia="等线(中文正文)"/>
          <w:b w:val="false"/>
          <w:i w:val="false"/>
          <w:sz w:val="20"/>
        </w:rPr>
        <w:t>发言人1   00:04</w:t>
      </w:r>
    </w:p>
    <w:p>
      <w:r>
        <w:rPr>
          <w:rFonts w:ascii="等线(中文正文)" w:hAnsi="等线(中文正文)" w:cs="等线(中文正文)" w:eastAsia="等线(中文正文)"/>
          <w:b w:val="false"/>
          <w:i w:val="false"/>
          <w:sz w:val="20"/>
        </w:rPr>
        <w:t>大家好，欢迎参加开源量化之声2026，开元金融工程2026深度研究系列路演第五期高频价格跳跃的风景股信息。目前所有参会者均处于静音状态，下面开始播报声明，本次会议仅面向个人证券的专业投资机构客户或受邀客户，仅供在新媒体背景下研究观点的及时交流。第三方专家发言内容仅代表其个人观点，所有信息或所表述的意见并不构成对任何人的投资建议。未经开源证券事先书面许可，任何机构或个人严禁录音转发及相关解读。涉嫌违反上述情形的，我们将保留一切法律权利。感谢您的理解和支持，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00:45</w:t>
      </w:r>
    </w:p>
    <w:p>
      <w:r>
        <w:rPr>
          <w:rFonts w:ascii="等线(中文正文)" w:hAnsi="等线(中文正文)" w:cs="等线(中文正文)" w:eastAsia="等线(中文正文)"/>
          <w:b w:val="false"/>
          <w:i w:val="false"/>
          <w:sz w:val="20"/>
        </w:rPr>
        <w:t>各位投资者，大家晚上好，我是开源金工分析师王志鹏。今天是我们2026年度开源量化之声的第五期。今天给大家分享的课题是我们风铃这个系列报告里面的第二篇。整个风铃谷的系列其实就是在做一个事情，是我们通过一些特征去对这种分数高频的数据去打标签。然后分成了风铃谷三类的一个试点。然后基于这些时点我们再去构建一系列的因子，大概是这样一个过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01:10</w:t>
      </w:r>
    </w:p>
    <w:p>
      <w:r>
        <w:rPr>
          <w:rFonts w:ascii="等线(中文正文)" w:hAnsi="等线(中文正文)" w:cs="等线(中文正文)" w:eastAsia="等线(中文正文)"/>
          <w:b w:val="false"/>
          <w:i w:val="false"/>
          <w:sz w:val="20"/>
        </w:rPr>
        <w:t>然后今天的题目是这个高频价格跳跃的风力股信息。我们在在在这个报告里面，我们其实是用五分钟的振幅，也就是最高最低价之间的一个幅度去衡量价格跳跃。然后我们大致的过程其实是把这个振幅按照它的一个高低分成了高振幅和低振幅两类。然后低振幅就直接是我们风电股里面的股的这一类。然后高振幅里面因为它相当于是交易比较活跃的这个时间点，所以它的一个信息含量会更丰富。一我们就把高振幅又进一步划分出了风和菱两部分。然后后续的研究其实是会发现风和菱两部分，它们是两部分相互矛盾的，并且比较势均力敌的信息。所以我们如果直接从高振幅的这个时点去出发的话，它其实是没有特别好的这种方法因子的，主要是因为里面又包含了这两部分矛盾信息。</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01:52</w:t>
      </w:r>
    </w:p>
    <w:p>
      <w:r>
        <w:rPr>
          <w:rFonts w:ascii="等线(中文正文)" w:hAnsi="等线(中文正文)" w:cs="等线(中文正文)" w:eastAsia="等线(中文正文)"/>
          <w:b w:val="false"/>
          <w:i w:val="false"/>
          <w:sz w:val="20"/>
        </w:rPr>
        <w:t>我们先先来介绍一下怎么去看这个政府的一个高低，像左下角这一个图，这个是过去20天分钟振幅的一个面板数据。有了这个面板数据之后，我们去判断政府的高低的时候，其实是在不同交易日之间去看的。也就是它横向是分钟，纵向是交易日。我们是纵向去比较。比如说我们去看某一天的9 9点35分的这一分钟政府的高低的话，那我就把过去20天就给35分钟振幅放在一起，然后去看它的一个均值加一个调查。请关注公众号思维纪要社，更多纪要请加V西安20210130感应阈值。</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02:27</w:t>
      </w:r>
    </w:p>
    <w:p>
      <w:r>
        <w:rPr>
          <w:rFonts w:ascii="等线(中文正文)" w:hAnsi="等线(中文正文)" w:cs="等线(中文正文)" w:eastAsia="等线(中文正文)"/>
          <w:b w:val="false"/>
          <w:i w:val="false"/>
          <w:sz w:val="20"/>
        </w:rPr>
        <w:t>如果它高于这个阈值，我们就在图中把它标注，它就是高振幅。如果低于这个阈值就是低振幅的。然后低振幅就是我们刚才说的风铃谷里面的鼓的这一类。</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02:35</w:t>
      </w:r>
    </w:p>
    <w:p>
      <w:r>
        <w:rPr>
          <w:rFonts w:ascii="等线(中文正文)" w:hAnsi="等线(中文正文)" w:cs="等线(中文正文)" w:eastAsia="等线(中文正文)"/>
          <w:b w:val="false"/>
          <w:i w:val="false"/>
          <w:sz w:val="20"/>
        </w:rPr>
        <w:t>然后高振幅我们又进一步从它的局域情绪还有跳跃的结果这两个特征去做了一个交叉的分类。那怎么去做呢？像局域情绪的这个特征强，我们是看当前这分钟他是高振幅，我就看他的前一分钟跟他后一分钟振幅的高低。如果前一分钟是低振幅，后一分钟也是低振幅，那他局域情绪就是偏低的状态。如果他前一分钟是低振幅，后一分钟也前一分钟是高振幅，后一分钟也是高振幅的话，那他局域情绪就是一偏高的一个状态。所以我们就按照前后一分钟正则高低，其实是可以从情绪端上去划分四类状态的。就是前低后高，前高后低，包括前高后高，像右上角这一个表格，那么它越往右的话情绪越高越往左情绪越低。</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03:13</w:t>
      </w:r>
    </w:p>
    <w:p>
      <w:r>
        <w:rPr>
          <w:rFonts w:ascii="等线(中文正文)" w:hAnsi="等线(中文正文)" w:cs="等线(中文正文)" w:eastAsia="等线(中文正文)"/>
          <w:b w:val="false"/>
          <w:i w:val="false"/>
          <w:sz w:val="20"/>
        </w:rPr>
        <w:t>然后我们去统计每个特征下它的一个阿尔法特性的话，我们这里做了一个简单的因子。就是在每个类别下面我们去统计这个类别下的一个样本量，也就是比如说前低后低这个特征，那我们就去统计一下过去20天符合这个特征的样本量，也就过去20天当前这一分钟是高振幅，前后一分钟都是低振幅的，这个样本量一共有多少。然后把这个样本量作为它阅读因子的一个打分，然后看它的一个因子的S均值，通过这个来我们去衡量整个特征它所代表的一个阿尔法的特性。从这个维度去看的话，我们会发现在情绪端的这个划分下，情绪越高它它负向化越强，情绪越低的话正向化越强。这是从情绪端的一个划分。然后从跳跃结果去划分，我们就分出了两类，一个是没有缺口，一个是有缺口。</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03:53</w:t>
      </w:r>
    </w:p>
    <w:p>
      <w:r>
        <w:rPr>
          <w:rFonts w:ascii="等线(中文正文)" w:hAnsi="等线(中文正文)" w:cs="等线(中文正文)" w:eastAsia="等线(中文正文)"/>
          <w:b w:val="false"/>
          <w:i w:val="false"/>
          <w:sz w:val="20"/>
        </w:rPr>
        <w:t>这里的有无缺口其实怎么个理解？我们还是当前这一分钟他是高振幅。那我就抛开这一分钟，我看他前一分钟和后一分钟他们的一个区间是否有交集。如果它价格区间是有交集的那它就是没有缺口。如果价格区间没有交集的话，那它就是有价格缺口的。具体定量上去衡量，就是当前这分钟它是高振幅，那我就看他前一分钟和后一分钟的高低价的这样一个区间。如果前一分钟的最高价要低于后一分钟的最低价，那它这个是有缺口的。或者说前一分钟的最低价高于后一分钟的最高价，它也是有缺口。</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04:19</w:t>
      </w:r>
    </w:p>
    <w:p>
      <w:r>
        <w:rPr>
          <w:rFonts w:ascii="等线(中文正文)" w:hAnsi="等线(中文正文)" w:cs="等线(中文正文)" w:eastAsia="等线(中文正文)"/>
          <w:b w:val="false"/>
          <w:i w:val="false"/>
          <w:sz w:val="20"/>
        </w:rPr>
        <w:t>那这个有无缺口其实代表的是什么呢？就是当前这分钟高寨夫，它其实是可以理解成一个价格跳跃，或者说价格的一个冲击，信息的一个冲击的那它没有形成缺口，就说明它价格冲击之后，股价快速的回到它冲击前的一个价格水平。所以它的一个价格冲击的一个或者说信息冲击的这个消化速度确实是非常快的。所以当没有缺口的时候，它的一个价格冲击影响比较小，那么它的一个流动性的条件会相对更充裕一些。然后有缺口就是反过来，它的价格冲击的影响是相对比较大的，然后流动性调节相对会比较弱一些。我们也会发现，其实没有缺口下它的一个IC就是一个比较强的一个标价性，然后有缺口的话就是一个比较强的一个负二法。</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04:56</w:t>
      </w:r>
    </w:p>
    <w:p>
      <w:r>
        <w:rPr>
          <w:rFonts w:ascii="等线(中文正文)" w:hAnsi="等线(中文正文)" w:cs="等线(中文正文)" w:eastAsia="等线(中文正文)"/>
          <w:b w:val="false"/>
          <w:i w:val="false"/>
          <w:sz w:val="20"/>
        </w:rPr>
        <w:t>从单维度去划分完之后，我们再从这两个维度去做了一个交叉的一个分类。这个交叉分类我们可以看到的是左上角这三类，也就是情绪偏低，并且价格冲击没有造成缺口的话，或者说价格冲击影响比较小的话，那它的一个正向法就会比较强一些。我们我们就把这三类时间取一个，并把它作为我们审批报告里面加加分的这样一个时间。然后右下角这三类就是价格的，它的一个局域情绪是偏高的状态，并且价格冲击影响相对比较大，那这三类的一个负想法就比较强，我们把这三类时间取一个集。我们这个报告里面加零的这样一个概念，这个是我们报告里面对于峰顶股的一个具体的一个划分。所以总结一下，其实就是我按照振幅的高低分出了高振幅、低振幅。低振幅就是加，然后加分和加0，再从高振幅里面进一步划分，然后划分标准就是橘情绪和跳跃结果这两个维度。</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05:43</w:t>
      </w:r>
    </w:p>
    <w:p>
      <w:r>
        <w:rPr>
          <w:rFonts w:ascii="等线(中文正文)" w:hAnsi="等线(中文正文)" w:cs="等线(中文正文)" w:eastAsia="等线(中文正文)"/>
          <w:b w:val="false"/>
          <w:i w:val="false"/>
          <w:sz w:val="20"/>
        </w:rPr>
        <w:t>然后下面是我说的某一天他分类股分类的这样个事例。整体来看就是价里的样本量要比价中的样本量要少一些，然后价格的样本量是最多的。然后整篇报告里面其实就是基于这三类试点的划分。我们用这三类试点相应的一些量价数据去做了一系列因子，一共是减了11个大类17个因子。右边这个表格就是各个类别一下因子的一个有效性的一个示意，就是它打勾的就是有效因子，调差是没有效因子。</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06:08</w:t>
      </w:r>
    </w:p>
    <w:p>
      <w:r>
        <w:rPr>
          <w:rFonts w:ascii="等线(中文正文)" w:hAnsi="等线(中文正文)" w:cs="等线(中文正文)" w:eastAsia="等线(中文正文)"/>
          <w:b w:val="false"/>
          <w:i w:val="false"/>
          <w:sz w:val="20"/>
        </w:rPr>
        <w:t>所以我们具体来看一下它这个分类的一个意义在哪里。像价值和价格都是高增幅，他们都是当前的一个交易比较活跃的一个阶段。然后价值的时间它的特征是什么？就是情绪偏低，并且价格冲击之后快速回复。所以它的特征其实跟知情交易的一些交易特征更加相符一些。所以我们基于甲方的试点去构建因子，基本上都是反映知情交易者的一个行为的那基于他来做的都是正向28因子。</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06:31</w:t>
      </w:r>
    </w:p>
    <w:p>
      <w:r>
        <w:rPr>
          <w:rFonts w:ascii="等线(中文正文)" w:hAnsi="等线(中文正文)" w:cs="等线(中文正文)" w:eastAsia="等线(中文正文)"/>
          <w:b w:val="false"/>
          <w:i w:val="false"/>
          <w:sz w:val="20"/>
        </w:rPr>
        <w:t>然后价格的时点，它特点就是当前这个时点的局域情绪是偏高的，并且价格冲击容易导致价格缺口很难恢复。他的特征更多的跟散户的一种跟随交易的特征更加相符一些。所以我们基于他来做的因子，也基本都是反映散户的一个交易行为的，所以也基本都是减负小二化因子。</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06:51</w:t>
      </w:r>
    </w:p>
    <w:p>
      <w:r>
        <w:rPr>
          <w:rFonts w:ascii="等线(中文正文)" w:hAnsi="等线(中文正文)" w:cs="等线(中文正文)" w:eastAsia="等线(中文正文)"/>
          <w:b w:val="false"/>
          <w:i w:val="false"/>
          <w:sz w:val="20"/>
        </w:rPr>
        <w:t>然后价格的试点，它就是前期比较低迷的这个试点交易比较低迷的时点。所以这类事件它的新信息含量相对会比较少一些。基于它来做的更多的是品类的因子，这一类因子就是逻辑，就是测试偏低的时候，它的一个价格过度反应的概率也会相对比较低一些，所以价格更偏多要一些，所以我们继续看来做的更多的是这种三维价值，或者说加权价格分位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07:10</w:t>
      </w:r>
    </w:p>
    <w:p>
      <w:r>
        <w:rPr>
          <w:rFonts w:ascii="等线(中文正文)" w:hAnsi="等线(中文正文)" w:cs="等线(中文正文)" w:eastAsia="等线(中文正文)"/>
          <w:b w:val="false"/>
          <w:i w:val="false"/>
          <w:sz w:val="20"/>
        </w:rPr>
        <w:t>这里衡量价格水平的都两个字。在这里我们其实是列了一下这篇报告里面所有的这17个因子，它的一个SR的一个表现，看一下因子的一个有效性。当然我们在这些报告里面，因为涉及到因子会比较多，所以我们没有办法做一个全部的一个详细介绍。我们这里就调了当中五个因子去做一个展开的介绍。这五个因子一个是它涵盖了大部分的因子里面，另一个就是我们在后续的验证当中也会发现，就是他们相比其他因子来，它的独立压法会更加明显一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07:35</w:t>
      </w:r>
    </w:p>
    <w:p>
      <w:r>
        <w:rPr>
          <w:rFonts w:ascii="等线(中文正文)" w:hAnsi="等线(中文正文)" w:cs="等线(中文正文)" w:eastAsia="等线(中文正文)"/>
          <w:b w:val="false"/>
          <w:i w:val="false"/>
          <w:sz w:val="20"/>
        </w:rPr>
        <w:t>然后第一个像加分分钟数这个因子。这个因子它其实因为我们说加分它衡量执行交易的，所以它其实是衡量之前交易的一个参与频率。我们做法其实就很简单，过去20天我们标记出这些加工时间点之后，我去统计它的样本量作为一个值。它的一个IC均值是6.4，RCR是3.0。在全市场的一个是分组，多头的话是11个点收益，多空的话是16点收益。然后年化2.1，当然我们从分组的表现来看的话，它分组的单调性是尤其是在多头端，单调性会相对比较弱一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08:06</w:t>
      </w:r>
    </w:p>
    <w:p>
      <w:r>
        <w:rPr>
          <w:rFonts w:ascii="等线(中文正文)" w:hAnsi="等线(中文正文)" w:cs="等线(中文正文)" w:eastAsia="等线(中文正文)"/>
          <w:b w:val="false"/>
          <w:i w:val="false"/>
          <w:sz w:val="20"/>
        </w:rPr>
        <w:t>然后在分析的效果来看的话，三百里面它多空是有七个点收益。然后500里面是13个点收益，一千是18个点收益。当然我们这篇报告里面其实大部分因子基本都是偏小盘的一个效果，在小盘里面都是用一些在分年度的话去看，500 1000是所有年份都是能够录得正收益的一个表现。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08:26</w:t>
      </w:r>
    </w:p>
    <w:p>
      <w:r>
        <w:rPr>
          <w:rFonts w:ascii="等线(中文正文)" w:hAnsi="等线(中文正文)" w:cs="等线(中文正文)" w:eastAsia="等线(中文正文)"/>
          <w:b w:val="false"/>
          <w:i w:val="false"/>
          <w:sz w:val="20"/>
        </w:rPr>
        <w:t>然后价格的分钟收益这个因子价格我们说它是衡量散户的一个交易特征，所以它价格的时间点是分钟涨跌幅，它其实是散户的一个收益贡献。我们做法其实就是过去20天这些加冕的时间点去计算它的分钟涨跌幅。然后去统计过去20天这些加冕分钟涨跌幅的一个累计收益，把它作为因子值。当然这个因子其实从构建上很明显，它会暴露反转因子，就20转电荷的这个反转因子。但是它要比反转因子要强很多，是一个更优的一个方案。IC的话是负的8.5，ICR是负的3.8。从十分组表现来看，多头是卧底收益，多空是26个点，是包括它分组单调性也是非常单调的一个表现。然后分域的一个效果，在300里面六点乘以500是7个点，然后一千里面是17个点的收益表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09:07</w:t>
      </w:r>
    </w:p>
    <w:p>
      <w:r>
        <w:rPr>
          <w:rFonts w:ascii="等线(中文正文)" w:hAnsi="等线(中文正文)" w:cs="等线(中文正文)" w:eastAsia="等线(中文正文)"/>
          <w:b w:val="false"/>
          <w:i w:val="false"/>
          <w:sz w:val="20"/>
        </w:rPr>
        <w:t>当然我们从最近表现来说的话，因为最近的行情，尤其是2、五年下半年以来，整体还是偏短动量的一个行情。所以整体上它因为暴露发展因子，在最近这段时间多股市在回撤的，然后价格的相对加权价，价格就是持续低迷的这个时点，它的相对加权价更多的是一个偏动量的一个价格，衡量其实就是它的一个持续低点一个价格动量因子构建上，我们其实它可能我们团队在20年一个从前字的构建方式是从以前这个因子其实要明白，六年多的时间一直都非常有效。那具体构建上就是我们去标记中间下午五的时间点之后，去每天去计算它下午十点的成交量加权价格，然后跟当天总的成交量加权价格去做一个比值，20天的比值取一个均值，这是它的一个因子计算。这个因子它的IC是6.57，R是4.0，多头11个点收益，多空是18个点收益，当然在分组的单调性上其实表现并不是特别好。然后分域的效果的话，它这个因子也会暴露一定的发展因子。所以在最近一年多的时间里面，它的多空也是有一个300里面是四个点收益，然后五百是五点，1000是13点的一个收益表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10:09</w:t>
      </w:r>
    </w:p>
    <w:p>
      <w:r>
        <w:rPr>
          <w:rFonts w:ascii="等线(中文正文)" w:hAnsi="等线(中文正文)" w:cs="等线(中文正文)" w:eastAsia="等线(中文正文)"/>
          <w:b w:val="false"/>
          <w:i w:val="false"/>
          <w:sz w:val="20"/>
        </w:rPr>
        <w:t>然后驾龄的间隔偏度，驾龄的间隔偏度是说我们既然每天去标记出这若干个驾龄的时间点，那我们就可以去统计它们两两之间的一个间隔时长，然后我们把HR之间间隔时长去计算它的一些统计指标去算了。他的二阶段、三阶段和4阶段都是做过，也都是有效的。但我们以偏度这个指标为例的话，它的一个IC是负的7.8，RC2的话是负的3.5，多投14个点收益，多空的话是22个点的收益。包括分组单调性也是非常单调，包括分化的一个表现。在分域的效果的话，在300里面漆两期的时候，500块是12点收，1000是16年的一个多收益。</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10:43</w:t>
      </w:r>
    </w:p>
    <w:p>
      <w:r>
        <w:rPr>
          <w:rFonts w:ascii="等线(中文正文)" w:hAnsi="等线(中文正文)" w:cs="等线(中文正文)" w:eastAsia="等线(中文正文)"/>
          <w:b w:val="false"/>
          <w:i w:val="false"/>
          <w:sz w:val="20"/>
        </w:rPr>
        <w:t>然后价格跳跃成交的相关性，这个因子它其实是我们在这里的价格跳跃时间点，其实就是风合理的并集，也就是价格冲击的这个时间点。它衡量的是价格跳跃之后资金的跟随交易的一个程度，所以也可以理解成这种散户的一个跟随交易特点，所以它是一个负向因子做法。其实就是过去20天这些价格跳跃时间点，风险点的便捷的时间点，我们去取这些时间点的一个成交金额，跟他下一分钟的成交金额去做了一个自相关系数。然后这个相关性越高，就说明散户的跟随交易越强。就是有一个价格的冲击之后，散户更容易涌入去做一个跟随的一个纵向的一个交易。</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11:16</w:t>
      </w:r>
    </w:p>
    <w:p>
      <w:r>
        <w:rPr>
          <w:rFonts w:ascii="等线(中文正文)" w:hAnsi="等线(中文正文)" w:cs="等线(中文正文)" w:eastAsia="等线(中文正文)"/>
          <w:b w:val="false"/>
          <w:i w:val="false"/>
          <w:sz w:val="20"/>
        </w:rPr>
        <w:t>它的一个IC是负的10.22C2的话是负的3.8，多头是17个点收益，多空是31个点的收益。整体表现在17个因子里面表现是最强的一个。然后包括分组单调性，包括分化度也是比较好的。在分析的效果的话，在300里面五个点收益，500是12个点多空收益，1000是22点的多空收益表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11:37</w:t>
      </w:r>
    </w:p>
    <w:p>
      <w:r>
        <w:rPr>
          <w:rFonts w:ascii="等线(中文正文)" w:hAnsi="等线(中文正文)" w:cs="等线(中文正文)" w:eastAsia="等线(中文正文)"/>
          <w:b w:val="false"/>
          <w:i w:val="false"/>
          <w:sz w:val="20"/>
        </w:rPr>
        <w:t>然后前面是我们当中部分因子的一个介绍，然后我们在这里也去看了一下，这17个因子它在ba上的一个风格暴露。从整体来看的话，其实主要是在波动率流动率，波动率流动性这两个风格下会有一定的暴露水平。尤其是像分钟数类的，包括成交金额类的这些因子，在这两个风格下暴露水平会相对比较高一些，暴露一些低波低流动性。然后收益和价格类的在整体的一个暴露水平就会比较低一些，这是它的一个特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12:03</w:t>
      </w:r>
    </w:p>
    <w:p>
      <w:r>
        <w:rPr>
          <w:rFonts w:ascii="等线(中文正文)" w:hAnsi="等线(中文正文)" w:cs="等线(中文正文)" w:eastAsia="等线(中文正文)"/>
          <w:b w:val="false"/>
          <w:i w:val="false"/>
          <w:sz w:val="20"/>
        </w:rPr>
        <w:t>然后这里面其实还有一个比较有意思的观察点，就是我们在前面对于风和丙的这个划分的时候，其实也说过。就是因为风它是要求价格升级之后快速回复，没有形成价格缺口，所以它的流动性的也会更加好一些。然后领的这个划分，它要求是价格冲击之后有缺口的，所以它的流动性条件会相对比较弱一些。所以我们同样的因子构建，对于风合理来说，风的这一部分因子都要比别的在波动率流动性上暴露水平要低一些。比如说架分的分数和价格的分数相比，价分的这块的在波动率流性上的暴露就会更低一些。包括甲方的这些间隔的统计指标，都要比你的间隔统计指标暴露水平要低一些。这个是当是因为它的一个划分标准导致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12:42</w:t>
      </w:r>
    </w:p>
    <w:p>
      <w:r>
        <w:rPr>
          <w:rFonts w:ascii="等线(中文正文)" w:hAnsi="等线(中文正文)" w:cs="等线(中文正文)" w:eastAsia="等线(中文正文)"/>
          <w:b w:val="false"/>
          <w:i w:val="false"/>
          <w:sz w:val="20"/>
        </w:rPr>
        <w:t>然后我在这里就去看了一下，我在全市场的全域下，我去对比一下它在市场行业中心，包括市场行业中心与二行业中心之后，它的一个因子效果的一个变化。整体就去看一下我们技术表格之后，整个因子还剩下大概有多少的一个二。所以我们从整体对比来看的话，它的在基础吊杆的风格之后，它的一个IC大概删减到了原来一半的一个水平。然后ICR的话删减的程度并没有那么高。比如说像加工的存储在市场行业中心的条件下，它的IC是6.4，然后在巴尔中线下它的IC是3.3，然后阿尔法从3.0变到了2.9。所以对于巴西均值的一个影响会更明显一些。然后它的稳定性上其实也是要提高一点。而且另外一个就是我们其实大部分因子在剔除加班风格之后，它基本都还是有效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13:31</w:t>
      </w:r>
    </w:p>
    <w:p>
      <w:r>
        <w:rPr>
          <w:rFonts w:ascii="等线(中文正文)" w:hAnsi="等线(中文正文)" w:cs="等线(中文正文)" w:eastAsia="等线(中文正文)"/>
          <w:b w:val="false"/>
          <w:i w:val="false"/>
          <w:sz w:val="20"/>
        </w:rPr>
        <w:t>然后右边是它在3001000这三个月下的一个ICR的一个情况，所以整体来看大部分因子还是偏小盘的一个性。然后这里我们去看了一下他们这些因子两者之间的一个相关性。因为整篇报告的因子基本上都是基于同样的一个时间划分去构建的，然后有部分部件逻辑还是比较相似，所以其中有很多因子之间相关性其实还是挺高的。所以我们后续想验证一个事情就是哪些因子是在其他因子基础上面是有独立阿尔法的，哪些因子是能够被其他因子所解释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14:03</w:t>
      </w:r>
    </w:p>
    <w:p>
      <w:r>
        <w:rPr>
          <w:rFonts w:ascii="等线(中文正文)" w:hAnsi="等线(中文正文)" w:cs="等线(中文正文)" w:eastAsia="等线(中文正文)"/>
          <w:b w:val="false"/>
          <w:i w:val="false"/>
          <w:sz w:val="20"/>
        </w:rPr>
        <w:t>所以我们在这里做了一个事情，就是我去做一个疗养，剔除。左边这个表是什么呢？就是我们去做完量的基础之后，它的一个2加2的1个值。比如说P1行P2列，这个1.8值其实就是P1因子，我去中心掉P2因子，包括市长殷之后它的一个S2的1个值。然后对角线标红的是它的原始值。因为我对角线去做剔除就没有意义，所以我们放了一个原始值去看它的一个衰减的一个程度大概是什么样一个水平。所以我们这个表其实应该横向去比较的，也就是我去看每一行它最后的那个IR的绝对值，然后看一下看能不能够被其他因素所解释掉。</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14:35</w:t>
      </w:r>
    </w:p>
    <w:p>
      <w:r>
        <w:rPr>
          <w:rFonts w:ascii="等线(中文正文)" w:hAnsi="等线(中文正文)" w:cs="等线(中文正文)" w:eastAsia="等线(中文正文)"/>
          <w:b w:val="false"/>
          <w:i w:val="false"/>
          <w:sz w:val="20"/>
        </w:rPr>
        <w:t>所以我们右边做了一个汇总的一个列表，这个汇总列表分为两部分，上半部分是正确报告，里面17个基于价值跳跃的这个因子。然后下半部分是上一篇，就同系列的上一篇报告里面基于成交量跳跃的20个因子。然后我把这37个因子放在一起去做了一个量基础，去统计每一行最多IR的绝对值。从这个结果上我们会看到，其实两篇报告各自都是能够剩下有六个因子，是不能够被六个因子所提的所所解释的。所以这篇报告里面六个因子，然后上一篇报告里面六个因子，一共12个因子，这个是有12个有独立阿法因子。然后我们在这篇报告里面，其实在这里做了一个因子合成的一个方案。</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15:12</w:t>
      </w:r>
    </w:p>
    <w:p>
      <w:r>
        <w:rPr>
          <w:rFonts w:ascii="等线(中文正文)" w:hAnsi="等线(中文正文)" w:cs="等线(中文正文)" w:eastAsia="等线(中文正文)"/>
          <w:b w:val="false"/>
          <w:i w:val="false"/>
          <w:sz w:val="20"/>
        </w:rPr>
        <w:t>当然它不是一个标准答案，它只是去看下这篇报告因子大概一个效果。那我们把这篇报告里面前面说的这六个维度变量法因子去做了一个简单的全合成合成之后，它的一个SA是10.7，ICR的话是4.1，多投是17 18个点的收益，然后多投的话是33个点的收益，年化的海尔是3.3。包括它分组单调性也是一个比较分化单调的一个表现。那我们排查分析的效果的话，在300里面是11点收益，500是13点收益，1000是26点的一个多个收益表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15:41</w:t>
      </w:r>
    </w:p>
    <w:p>
      <w:r>
        <w:rPr>
          <w:rFonts w:ascii="等线(中文正文)" w:hAnsi="等线(中文正文)" w:cs="等线(中文正文)" w:eastAsia="等线(中文正文)"/>
          <w:b w:val="false"/>
          <w:i w:val="false"/>
          <w:sz w:val="20"/>
        </w:rPr>
        <w:t>然后在这里我们去把这个合成因子放在指责的框架里面，去做了300 500、1000这3个指数的指责的组合，去控制他的班二风格的偏离，包括行业偏离，个股的权重偏离这一类。然后在300里面它增强300增强组合年化收益是12个点，相比于300全收益指数超额年化收益是六个点。然后在500里面，它500指增的这个组合年化收益是15个点，相比于500指数的话，超年化是11个点的收益。然后在1000里面增强组合年化收益是13个点，相比于1000指数它超年化收益是11个点，所以整那三个三个值三个指向于下面，它都是有一定的增强的效果。</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16:19</w:t>
      </w:r>
    </w:p>
    <w:p>
      <w:r>
        <w:rPr>
          <w:rFonts w:ascii="等线(中文正文)" w:hAnsi="等线(中文正文)" w:cs="等线(中文正文)" w:eastAsia="等线(中文正文)"/>
          <w:b w:val="false"/>
          <w:i w:val="false"/>
          <w:sz w:val="20"/>
        </w:rPr>
        <w:t>然后我们去看风景度的表现的话，在300里面，只有在19年它是没有跑赢300指数的，其他年份都跑赢的，包括2526年也都是能够跑赢的。25年是六月，26年是有11个点的超，然后26是截止到26年四月份的年化数据，然后500和1000在500上是19年，还有2526这两年它是没有跑赢的，这个主要原因是什么呢？我们待会儿跟1100块讲，一千它也是在最近两年它是没有跑赢，前几个都是跑赢。为什么这两年在500个亿1000上是跑输，而是在这两这两年在300上是跑赢的。主要原因就是这两年这个成长风格的一个极致分化，在300里面相对的这种成长调配没有那么多，所以在300里面相对好好赢一些。然后在500到1000这两年的这个成长风格过于极致，所以在这两个风格下，但凡它的一个配置的不够，所以都会导致它整体上跑出这个指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17:09</w:t>
      </w:r>
    </w:p>
    <w:p>
      <w:r>
        <w:rPr>
          <w:rFonts w:ascii="等线(中文正文)" w:hAnsi="等线(中文正文)" w:cs="等线(中文正文)" w:eastAsia="等线(中文正文)"/>
          <w:b w:val="false"/>
          <w:i w:val="false"/>
          <w:sz w:val="20"/>
        </w:rPr>
        <w:t>然后这里面我们做了一点补充材料，就是这份报告里面其他的我们前面讲了五个因子，其他的12个人没有讲到的因子，它大概的跟表现去做了一个劣势。在这里我们去列了一下招聘报告里面所有因子的一个完整的定义，大家如果有这些需求的话，可以作为一个参考。然后最后这一部分就是我们对上一篇报告他的一个绩效去做了一些回顾。因为前面我们说到有上传报告，也是有六个因子是有独立二化的。所以我们就把这六个因子去做了一个绩效回顾，大概要了也有一年的一个时间。所以从样本外绩效来看的话，整体样本外表现还是比较稳健的。对以上就是今天分享的全部内容。然后更多的研究欢迎关注我们团队公众号，兼容量化研究，也感谢大家通过收听。</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17:58</w:t>
      </w:r>
    </w:p>
    <w:p>
      <w:r>
        <w:rPr>
          <w:rFonts w:ascii="等线(中文正文)" w:hAnsi="等线(中文正文)" w:cs="等线(中文正文)" w:eastAsia="等线(中文正文)"/>
          <w:b w:val="false"/>
          <w:i w:val="false"/>
          <w:sz w:val="20"/>
        </w:rPr>
        <w:t>感谢大家参加本次会议，用AI进宝获得优质复盘资料，更多专业AI工具和投研内容，打开进门APP领取会员体验。祝您工作顺利，再见。本次会议仅面向开源证券的专业投资机构客户或受邀客户，仅供在新媒体背景下研究观点的及时交流。第三方专家发言内容仅代表其个观点所有信息或所表述的意见，并不构成对任何人的投资建议。未经开源证券事先书面许可，任何机构或个人严禁录音、转发及相关解读。涉嫌违反上述情形的，我们将保留一切法律权利。感谢您的理解和支持，谢谢。</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2026-08-23T16:26:27Z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E6636BB100BBAFBB4581D91E6DDB8AF4739CBE8CC3FDDD8C7A6B463F47DFE52A3EFB9DEC485BEFD4A819A7839E1F40B05164E4C31E5B28935A4EDC765902CE0CC235435</vt:lpwstr>
  </property>
</Properties>
</file>