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东财宏观_一周全球宏观复盘与资产展望 260823_导读</w:t>
      </w:r>
    </w:p>
    <w:p>
      <w:pPr>
        <w:pStyle w:val="a0"/>
        <w:jc w:val="center"/>
      </w:pPr>
      <w:r>
        <w:t>2026年08月23日 22:06</w:t>
      </w:r>
    </w:p>
    <w:p>
      <w:pPr>
        <w:pStyle w:val="a7"/>
      </w:pPr>
      <w:r>
        <w:t>关键词</w:t>
      </w:r>
    </w:p>
    <w:p>
      <w:r>
        <w:rPr>
          <w:rFonts w:ascii="等线(中文正文)" w:hAnsi="等线(中文正文)" w:cs="等线(中文正文)" w:eastAsia="等线(中文正文)"/>
          <w:b w:val="false"/>
          <w:i w:val="false"/>
          <w:sz w:val="20"/>
        </w:rPr>
        <w:t xml:space="preserve">全球宏观 资产展望 美债 科技股 回购 机构资金 去杠杆 美股产业 资本开支 云厂商 数据中心 回报率 英伟达 戴尔 联想 AI 通胀预期 油价 霍尔兹海峡 通行能力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会议首先对与会者的参与表示感谢，强调会议即将开始，并围绕全球宏观复盘与资产展望展开讨论。内容涉及美债异动、科技股回购、市场冲击、机构去杠杆、美债观察、美股产业趋势，以及国内经济与政策展望。主讲人指出，当前机构投资者正经历去杠杆过程，这对美债和美股均产生影响。同时强调，政策预期和流动性宽松对资产价格有潜在影响。会议最后建议投资者关注未来政策动向及流动性的变化，特别是在九月份前可能带来的交易机会。</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东台宏观一周全球宏观复盘与资产展望</w:t>
      </w:r>
    </w:p>
    <w:p>
      <w:r>
        <w:rPr>
          <w:rFonts w:ascii="等线(中文正文)" w:hAnsi="等线(中文正文)" w:cs="等线(中文正文)" w:eastAsia="等线(中文正文)"/>
          <w:b w:val="false"/>
          <w:i w:val="false"/>
          <w:sz w:val="20"/>
        </w:rPr>
        <w:t>会议宣布全球宏观市场复盘与资产展望开始，强调会议内容仅为机构投资者或受邀客户、第三方专家个人观点，非具体投资建议。会议聚焦本周海外宏观异动，如美债市场变化、科技股回购及龙头企业的收入预期调整，这些因素对市场造成显著影响。首席分析师将与海外联席首席共同探讨宏观与资产层面的讨论和展望，特别关注美债及科技股市场动态。</w:t>
      </w:r>
    </w:p>
    <w:p>
      <w:r>
        <w:rPr>
          <w:rFonts w:ascii="等线(中文正文)" w:hAnsi="等线(中文正文)" w:cs="等线(中文正文)" w:eastAsia="等线(中文正文)"/>
          <w:b w:val="false"/>
          <w:i w:val="false"/>
          <w:sz w:val="20"/>
        </w:rPr>
        <w:t/>
      </w:r>
    </w:p>
    <w:p>
      <w:pPr>
        <w:pStyle w:val="ab"/>
        <w:numPr>
          <w:numId w:val="2"/>
        </w:numPr>
      </w:pPr>
      <w:r>
        <w:t>01:27 全球资金动态与美股产业趋势分析</w:t>
      </w:r>
    </w:p>
    <w:p>
      <w:r>
        <w:rPr>
          <w:rFonts w:ascii="等线(中文正文)" w:hAnsi="等线(中文正文)" w:cs="等线(中文正文)" w:eastAsia="等线(中文正文)"/>
          <w:b w:val="false"/>
          <w:i w:val="false"/>
          <w:sz w:val="20"/>
        </w:rPr>
        <w:t>讨论了全球机构资金去杠杆现象，指出科技股遭遇回撤，机构采取风控措施导致资金规模难以恢复至高位。同时，分析了美债市场受中东经济策略影响而上行的压力，以及AI相关叙事对市场情绪的边际影响。最后，展望了美股产业在资本开支推动下的新趋势，强调云服务领域的扩展及其对市场的影响。</w:t>
      </w:r>
    </w:p>
    <w:p>
      <w:r>
        <w:rPr>
          <w:rFonts w:ascii="等线(中文正文)" w:hAnsi="等线(中文正文)" w:cs="等线(中文正文)" w:eastAsia="等线(中文正文)"/>
          <w:b w:val="false"/>
          <w:i w:val="false"/>
          <w:sz w:val="20"/>
        </w:rPr>
        <w:t/>
      </w:r>
    </w:p>
    <w:p>
      <w:pPr>
        <w:pStyle w:val="ab"/>
        <w:numPr>
          <w:numId w:val="3"/>
        </w:numPr>
      </w:pPr>
      <w:r>
        <w:t>05:21 数据中心投资趋势与回报率分析</w:t>
      </w:r>
    </w:p>
    <w:p>
      <w:r>
        <w:rPr>
          <w:rFonts w:ascii="等线(中文正文)" w:hAnsi="等线(中文正文)" w:cs="等线(中文正文)" w:eastAsia="等线(中文正文)"/>
          <w:b w:val="false"/>
          <w:i w:val="false"/>
          <w:sz w:val="20"/>
        </w:rPr>
        <w:t>对话围绕数据中心建设的投资趋势展开，强调了融资和回报率的重要性。提到云厂商依赖自由现金流，而星云等需融资，英伟达等公司积极与电力供应商及PE签署合同。讨论了马斯克、亚马逊、阿里等企业的数据中心回报率，指出行业值得投入。硬件板块如英伟达、戴尔、联想股价向新高迈进。此外，提及anthropic融资低于预期及三星回购计划，强调股东回报与资本开支平衡。</w:t>
      </w:r>
    </w:p>
    <w:p>
      <w:r>
        <w:rPr>
          <w:rFonts w:ascii="等线(中文正文)" w:hAnsi="等线(中文正文)" w:cs="等线(中文正文)" w:eastAsia="等线(中文正文)"/>
          <w:b w:val="false"/>
          <w:i w:val="false"/>
          <w:sz w:val="20"/>
        </w:rPr>
        <w:t/>
      </w:r>
    </w:p>
    <w:p>
      <w:pPr>
        <w:pStyle w:val="ab"/>
        <w:numPr>
          <w:numId w:val="4"/>
        </w:numPr>
      </w:pPr>
      <w:r>
        <w:t>07:58 美债与油价对经济影响及AI领域投资策略</w:t>
      </w:r>
    </w:p>
    <w:p>
      <w:r>
        <w:rPr>
          <w:rFonts w:ascii="等线(中文正文)" w:hAnsi="等线(中文正文)" w:cs="等线(中文正文)" w:eastAsia="等线(中文正文)"/>
          <w:b w:val="false"/>
          <w:i w:val="false"/>
          <w:sz w:val="20"/>
        </w:rPr>
        <w:t>讨论了美债波动、油价对通胀预期的影响，以及AI领域在宏观利率变化下的敏感性。指出财政部门在应对这些问题时的被动性，以及AI行业可能面临的利率上升压力。同时，分析了石油价格对美国经济的基本面影响，包括就业和通胀数据，强调了伊朗局势对油价走向的关键作用。最后，提出了关注服务器和软件层面的投资机会，尤其是在AI逐步融入生产领域的背景下，网络安全等软件需求将持续增长。</w:t>
      </w:r>
    </w:p>
    <w:p>
      <w:r>
        <w:rPr>
          <w:rFonts w:ascii="等线(中文正文)" w:hAnsi="等线(中文正文)" w:cs="等线(中文正文)" w:eastAsia="等线(中文正文)"/>
          <w:b w:val="false"/>
          <w:i w:val="false"/>
          <w:sz w:val="20"/>
        </w:rPr>
        <w:t/>
      </w:r>
    </w:p>
    <w:p>
      <w:pPr>
        <w:pStyle w:val="ab"/>
        <w:numPr>
          <w:numId w:val="5"/>
        </w:numPr>
      </w:pPr>
      <w:r>
        <w:t>12:08 霍尔木兹海峡局势对全球油价及通胀影响分析</w:t>
      </w:r>
    </w:p>
    <w:p>
      <w:r>
        <w:rPr>
          <w:rFonts w:ascii="等线(中文正文)" w:hAnsi="等线(中文正文)" w:cs="等线(中文正文)" w:eastAsia="等线(中文正文)"/>
          <w:b w:val="false"/>
          <w:i w:val="false"/>
          <w:sz w:val="20"/>
        </w:rPr>
        <w:t>讨论了霍尔木兹海峡若进入烂尾状态对全球油价的影响，认为即使通行能力仅恢复到战前70%-80%，对油价冲击有限。特别指出亚太地区可能受影响较大，但整体可控。基于当前经济数据变化，预测美联储下半年更倾向于宽松政策，而非持续加息，以应对通胀压力。</w:t>
      </w:r>
    </w:p>
    <w:p>
      <w:r>
        <w:rPr>
          <w:rFonts w:ascii="等线(中文正文)" w:hAnsi="等线(中文正文)" w:cs="等线(中文正文)" w:eastAsia="等线(中文正文)"/>
          <w:b w:val="false"/>
          <w:i w:val="false"/>
          <w:sz w:val="20"/>
        </w:rPr>
        <w:t/>
      </w:r>
    </w:p>
    <w:p>
      <w:pPr>
        <w:pStyle w:val="ab"/>
        <w:numPr>
          <w:numId w:val="6"/>
        </w:numPr>
      </w:pPr>
      <w:r>
        <w:t>16:21 美联储政策转向与中美经济预期分析</w:t>
      </w:r>
    </w:p>
    <w:p>
      <w:r>
        <w:rPr>
          <w:rFonts w:ascii="等线(中文正文)" w:hAnsi="等线(中文正文)" w:cs="等线(中文正文)" w:eastAsia="等线(中文正文)"/>
          <w:b w:val="false"/>
          <w:i w:val="false"/>
          <w:sz w:val="20"/>
        </w:rPr>
        <w:t>讨论了美联储可能在经济数据和通胀压力可控下，转向宽松政策的预期，以及特朗普和贝森特对此的诉求。国内经济数据不佳，宏观政策加快落地但效果尚不明显，消费动能待投资企稳后有望改善。预期三季度经济数据弱将促进四季度政策宽松，利好偏红利性和周期性资产。</w:t>
      </w:r>
    </w:p>
    <w:p>
      <w:r>
        <w:rPr>
          <w:rFonts w:ascii="等线(中文正文)" w:hAnsi="等线(中文正文)" w:cs="等线(中文正文)" w:eastAsia="等线(中文正文)"/>
          <w:b w:val="false"/>
          <w:i w:val="false"/>
          <w:sz w:val="20"/>
        </w:rPr>
        <w:t/>
      </w:r>
    </w:p>
    <w:p>
      <w:pPr>
        <w:pStyle w:val="ab"/>
        <w:numPr>
          <w:numId w:val="7"/>
        </w:numPr>
      </w:pPr>
      <w:r>
        <w:t>20:15 宏观经济展望与资产配置策略</w:t>
      </w:r>
    </w:p>
    <w:p>
      <w:r>
        <w:rPr>
          <w:rFonts w:ascii="等线(中文正文)" w:hAnsi="等线(中文正文)" w:cs="等线(中文正文)" w:eastAsia="等线(中文正文)"/>
          <w:b w:val="false"/>
          <w:i w:val="false"/>
          <w:sz w:val="20"/>
        </w:rPr>
        <w:t>对话围绕宏观经济走势及资产配置策略展开，强调了九月前国内经济走弱背景下流动性预期改善对各类资产的潜在影响，特别是政策加码与流动性宽松对红利、平衡、周期类资产的驱动作用。提及中美宽松预期变化可能带来的海外美债利率调整及国内收益率下行空间，股市方面则看好稳定型、平衡型、红利型及周期性资产的交易机会。整体观点认为，尽管市场经历高弹性、高拥挤后进入收敛状态，但下半年尤其是四季度仍存在投资机会。</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主持的会议聚焦于“东台宏观一周全球宏观复盘与资产展望”，强调所有讨论内容不构成投资建议，仅面向受邀客户，且不得随意传播。会议中，他首先分析了海外市场，特别关注美债异动、科技股回购和龙头企业收入预期变化对市场的冲击，提及机构资金去杠杆现象及美债和美股产业趋势。他指出，中东局势和特朗普政府策略影响美债走势，AI发展增加宏观利率变化敏感性，认为美债可能继续下行，为市场提供支撑。在谈及美股产业趋势时，他强调云计算领域资本支出和数据中心建设是新增长点，讨论了服务器、英伟达和数据中心回报率。对于国内情况，他指出经济数据不佳，但宏观政策正加快落地，预示四季度可能的政策和流动性宽松，为市场带来机会。最后，他认为中美可能的宽松预期可能为未来市场提供交易机会，尤其是在九月份之前。</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问：这周海外层面有哪些主要的情况？</w:t>
      </w:r>
    </w:p>
    <w:p>
      <w:r>
        <w:rPr>
          <w:rFonts w:ascii="等线(中文正文)" w:hAnsi="等线(中文正文)" w:cs="等线(中文正文)" w:eastAsia="等线(中文正文)"/>
          <w:b w:val="false"/>
          <w:i w:val="false"/>
          <w:sz w:val="20"/>
        </w:rPr>
        <w:t>发言人1 答：这周海外层面，美债和科技股的回购情况以及一些龙头企业的收入预期数据变化对市场产生了较大冲击和扰动。具体来说，机构资金去杠杆的现象有所体现，比如城堡基金大幅减持波神基金持仓，导致相关股票出现回撤。同时，中东地区特朗普采取的围而不攻策略对美债市场不利，使得美债呈现“高点更长”的走势。此外，AI相关的叙事成为短期影响美债情绪的关键因素。</w:t>
      </w:r>
    </w:p>
    <w:p>
      <w:r>
        <w:rPr>
          <w:rFonts w:ascii="等线(中文正文)" w:hAnsi="等线(中文正文)" w:cs="等线(中文正文)" w:eastAsia="等线(中文正文)"/>
          <w:b w:val="false"/>
          <w:i w:val="false"/>
          <w:sz w:val="20"/>
        </w:rPr>
        <w:t/>
      </w:r>
    </w:p>
    <w:p>
      <w:pPr>
        <w:pStyle w:val="ab"/>
      </w:pPr>
      <w:r>
        <w:t>发言人1 问：资金去杠杆的情况如何？</w:t>
      </w:r>
    </w:p>
    <w:p>
      <w:r>
        <w:rPr>
          <w:rFonts w:ascii="等线(中文正文)" w:hAnsi="等线(中文正文)" w:cs="等线(中文正文)" w:eastAsia="等线(中文正文)"/>
          <w:b w:val="false"/>
          <w:i w:val="false"/>
          <w:sz w:val="20"/>
        </w:rPr>
        <w:t>发言人1 答：在资金去杠杆方面，近期大行交易中有明显观察到机构资金去杠杆的行为。以城堡基金为例，其负责人接受采访时透露已基本卖掉了波神基金80%的份额，这一行为在市场上也有反映，且从波神基金Q2持仓披露的数据来看，前十五大股平均下跌近九个点回撤，验证了资金去杠杆的事实。预计机构资金膨胀的规模将难以恢复到之前的高度，目前市场正处于去杠杆的过程中。</w:t>
      </w:r>
    </w:p>
    <w:p>
      <w:r>
        <w:rPr>
          <w:rFonts w:ascii="等线(中文正文)" w:hAnsi="等线(中文正文)" w:cs="等线(中文正文)" w:eastAsia="等线(中文正文)"/>
          <w:b w:val="false"/>
          <w:i w:val="false"/>
          <w:sz w:val="20"/>
        </w:rPr>
        <w:t/>
      </w:r>
    </w:p>
    <w:p>
      <w:pPr>
        <w:pStyle w:val="ab"/>
      </w:pPr>
      <w:r>
        <w:t>发言人1 问：美债市场还有哪些值得关注的观察点？</w:t>
      </w:r>
    </w:p>
    <w:p>
      <w:r>
        <w:rPr>
          <w:rFonts w:ascii="等线(中文正文)" w:hAnsi="等线(中文正文)" w:cs="等线(中文正文)" w:eastAsia="等线(中文正文)"/>
          <w:b w:val="false"/>
          <w:i w:val="false"/>
          <w:sz w:val="20"/>
        </w:rPr>
        <w:t>发言人1 答：第二个观察点是美债市场，其中中东局势的发展对美债走势较为不利，尤其是特朗普采取的经济战策略可能导致美债呈现长期高位。然而，AI相关的新叙事为市场带来了一些积极信号，尤其是在美债情绪不佳时，从边际定价层面看，这些新叙事对美债有较大影响。</w:t>
      </w:r>
    </w:p>
    <w:p>
      <w:r>
        <w:rPr>
          <w:rFonts w:ascii="等线(中文正文)" w:hAnsi="等线(中文正文)" w:cs="等线(中文正文)" w:eastAsia="等线(中文正文)"/>
          <w:b w:val="false"/>
          <w:i w:val="false"/>
          <w:sz w:val="20"/>
        </w:rPr>
        <w:t/>
      </w:r>
    </w:p>
    <w:p>
      <w:pPr>
        <w:pStyle w:val="ab"/>
      </w:pPr>
      <w:r>
        <w:t>发言人1 问：对于其他大类资产，如黄金和加密货币，近期有何动态？</w:t>
      </w:r>
    </w:p>
    <w:p>
      <w:r>
        <w:rPr>
          <w:rFonts w:ascii="等线(中文正文)" w:hAnsi="等线(中文正文)" w:cs="等线(中文正文)" w:eastAsia="等线(中文正文)"/>
          <w:b w:val="false"/>
          <w:i w:val="false"/>
          <w:sz w:val="20"/>
        </w:rPr>
        <w:t>发言人1 答：近期黄金和加密货币等资产的表现受到贝森特宣布回购的影响，回购被市场理解为类似QE的操作，因此这些资产出现显著上涨。但由于市场对美债多头仓位的认知不足，导致在建仓过程中出现较大涨幅，类似光大乌龙指事件。同时，美债问题还引发了对美股产业新趋势的关注，尤其是云服务提供商的资本开支增长和数据中心建设等方面的动态。</w:t>
      </w:r>
    </w:p>
    <w:p>
      <w:r>
        <w:rPr>
          <w:rFonts w:ascii="等线(中文正文)" w:hAnsi="等线(中文正文)" w:cs="等线(中文正文)" w:eastAsia="等线(中文正文)"/>
          <w:b w:val="false"/>
          <w:i w:val="false"/>
          <w:sz w:val="20"/>
        </w:rPr>
        <w:t/>
      </w:r>
    </w:p>
    <w:p>
      <w:pPr>
        <w:pStyle w:val="ab"/>
      </w:pPr>
      <w:r>
        <w:t>发言人1 问：美股产业的趋势方向是什么？</w:t>
      </w:r>
    </w:p>
    <w:p>
      <w:r>
        <w:rPr>
          <w:rFonts w:ascii="等线(中文正文)" w:hAnsi="等线(中文正文)" w:cs="等线(中文正文)" w:eastAsia="等线(中文正文)"/>
          <w:b w:val="false"/>
          <w:i w:val="false"/>
          <w:sz w:val="20"/>
        </w:rPr>
        <w:t>发言人1 答：近期美股回调后，新的趋势逐渐清晰，可以概括为“数据中心化”或“中性地产化”。具体表现为云厂商如新云和主权云等对资本开支的贡献显著增加，而这一趋势与美债和美股的变化有一定关联度。数据中心建设方面，诸如联想等企业的财报中体现出显著拉动作用，并且各主要云服务提供商都在积极融资以扩展数据中心建设，同时，数据中心投资回报率也逐渐明朗，一些企业已实现较快回本，凸显出数据中心领域的投资吸引力。</w:t>
      </w:r>
    </w:p>
    <w:p>
      <w:r>
        <w:rPr>
          <w:rFonts w:ascii="等线(中文正文)" w:hAnsi="等线(中文正文)" w:cs="等线(中文正文)" w:eastAsia="等线(中文正文)"/>
          <w:b w:val="false"/>
          <w:i w:val="false"/>
          <w:sz w:val="20"/>
        </w:rPr>
        <w:t/>
      </w:r>
    </w:p>
    <w:p>
      <w:pPr>
        <w:pStyle w:val="ab"/>
      </w:pPr>
      <w:r>
        <w:t>发言人1 问：在硬件板块中，有哪些公司或方向是当前正在走向新高的？从当前市场趋势和新的叙事方向出发，有哪些投资建议？</w:t>
      </w:r>
    </w:p>
    <w:p>
      <w:r>
        <w:rPr>
          <w:rFonts w:ascii="等线(中文正文)" w:hAnsi="等线(中文正文)" w:cs="等线(中文正文)" w:eastAsia="等线(中文正文)"/>
          <w:b w:val="false"/>
          <w:i w:val="false"/>
          <w:sz w:val="20"/>
        </w:rPr>
        <w:t>发言人1 答：目前，在硬件板块中，英伟达是处于高位并有回调迹象但股价接近创新高的公司。此外，服务器方向如戴尔和联想也在向新高方向发展。这些公司都是基于云计算建设这一产业趋势的演绎。在当前趋势下，可以关注一些筹码阻力较小的方向，比如服务器板块，因为下游涨价可能会传导至服务器厂商带来收益。此外，网络安全软件由于逻辑不受破坏且在AI逐渐步入生产领域后需增加预算配置，也是值得关注的领域。</w:t>
      </w:r>
    </w:p>
    <w:p>
      <w:r>
        <w:rPr>
          <w:rFonts w:ascii="等线(中文正文)" w:hAnsi="等线(中文正文)" w:cs="等线(中文正文)" w:eastAsia="等线(中文正文)"/>
          <w:b w:val="false"/>
          <w:i w:val="false"/>
          <w:sz w:val="20"/>
        </w:rPr>
        <w:t/>
      </w:r>
    </w:p>
    <w:p>
      <w:pPr>
        <w:pStyle w:val="ab"/>
      </w:pPr>
      <w:r>
        <w:t>发言人1 问：上周有哪些令人关注的新闻事件，例如IPO或回购情况如何？</w:t>
      </w:r>
    </w:p>
    <w:p>
      <w:r>
        <w:rPr>
          <w:rFonts w:ascii="等线(中文正文)" w:hAnsi="等线(中文正文)" w:cs="等线(中文正文)" w:eastAsia="等线(中文正文)"/>
          <w:b w:val="false"/>
          <w:i w:val="false"/>
          <w:sz w:val="20"/>
        </w:rPr>
        <w:t>发言人1 答：上周有两家公司引起了市场关注。一是anthropic 650亿IPO，虽然低于预期，但整体上因其IPO前需要口径统一以符合监管要求，导致预期未达。另一个是三星的回购计划，尽管大致符合预期，但其财报中提到会在股东回报和资本开支间寻找平衡，如果股价下跌较多，三星愿意减少投资，这被看作是正面信号。</w:t>
      </w:r>
    </w:p>
    <w:p>
      <w:r>
        <w:rPr>
          <w:rFonts w:ascii="等线(中文正文)" w:hAnsi="等线(中文正文)" w:cs="等线(中文正文)" w:eastAsia="等线(中文正文)"/>
          <w:b w:val="false"/>
          <w:i w:val="false"/>
          <w:sz w:val="20"/>
        </w:rPr>
        <w:t/>
      </w:r>
    </w:p>
    <w:p>
      <w:pPr>
        <w:pStyle w:val="ab"/>
      </w:pPr>
      <w:r>
        <w:t>发言人1 问：关于美债问题，财政部的角度以及它对财政可负担性、油价政策和AI流动性的影响是什么？</w:t>
      </w:r>
    </w:p>
    <w:p>
      <w:r>
        <w:rPr>
          <w:rFonts w:ascii="等线(中文正文)" w:hAnsi="等线(中文正文)" w:cs="等线(中文正文)" w:eastAsia="等线(中文正文)"/>
          <w:b w:val="false"/>
          <w:i w:val="false"/>
          <w:sz w:val="20"/>
        </w:rPr>
        <w:t>发言人1 答：美债问题对财政部而言，经历了下降后又需上升的过程，财政部门因此面临被动局面。一方面要解决财政可负担性问题，另一方面油价政策受特朗普政策影响，而AI与美国政府竞争流动性是一个大趋势，这些都使得财政部门处理问题较为棘手。最近一些激进的美国券商开始呼吁实施QE。</w:t>
      </w:r>
    </w:p>
    <w:p>
      <w:r>
        <w:rPr>
          <w:rFonts w:ascii="等线(中文正文)" w:hAnsi="等线(中文正文)" w:cs="等线(中文正文)" w:eastAsia="等线(中文正文)"/>
          <w:b w:val="false"/>
          <w:i w:val="false"/>
          <w:sz w:val="20"/>
        </w:rPr>
        <w:t/>
      </w:r>
    </w:p>
    <w:p>
      <w:pPr>
        <w:pStyle w:val="ab"/>
      </w:pPr>
      <w:r>
        <w:t>发言人1 问：AI在未来发展趋势中，对于宏观利率变化的敏感度会有何变化？</w:t>
      </w:r>
    </w:p>
    <w:p>
      <w:r>
        <w:rPr>
          <w:rFonts w:ascii="等线(中文正文)" w:hAnsi="等线(中文正文)" w:cs="等线(中文正文)" w:eastAsia="等线(中文正文)"/>
          <w:b w:val="false"/>
          <w:i w:val="false"/>
          <w:sz w:val="20"/>
        </w:rPr>
        <w:t>发言人1 答：未来AI的进一步增长将需要更多的资金投入，而由于未来资本支出（capex）可能难以由自由现金流解决，发债会导致利率上升，进而影响权益估值。因此，AI将更加敏感于宏观利率的变化。</w:t>
      </w:r>
    </w:p>
    <w:p>
      <w:r>
        <w:rPr>
          <w:rFonts w:ascii="等线(中文正文)" w:hAnsi="等线(中文正文)" w:cs="等线(中文正文)" w:eastAsia="等线(中文正文)"/>
          <w:b w:val="false"/>
          <w:i w:val="false"/>
          <w:sz w:val="20"/>
        </w:rPr>
        <w:t/>
      </w:r>
    </w:p>
    <w:p>
      <w:pPr>
        <w:pStyle w:val="ab"/>
      </w:pPr>
      <w:r>
        <w:t>发言人1 问：关于海外油价问题，它对美国通胀预期和美联储货币政策的影响如何？</w:t>
      </w:r>
    </w:p>
    <w:p>
      <w:r>
        <w:rPr>
          <w:rFonts w:ascii="等线(中文正文)" w:hAnsi="等线(中文正文)" w:cs="等线(中文正文)" w:eastAsia="等线(中文正文)"/>
          <w:b w:val="false"/>
          <w:i w:val="false"/>
          <w:sz w:val="20"/>
        </w:rPr>
        <w:t>发言人1 答：目前，海外油价成为美国通胀预期和美联储货币政策的关键约束变量。美国财政部和特朗普层面都表现出对长期美债托底和利率下行的支持，但整体定力较强。需要关注的根本信号是伊朗局势的发展，以判断油价是否会下行。</w:t>
      </w:r>
    </w:p>
    <w:p>
      <w:r>
        <w:rPr>
          <w:rFonts w:ascii="等线(中文正文)" w:hAnsi="等线(中文正文)" w:cs="等线(中文正文)" w:eastAsia="等线(中文正文)"/>
          <w:b w:val="false"/>
          <w:i w:val="false"/>
          <w:sz w:val="20"/>
        </w:rPr>
        <w:t/>
      </w:r>
    </w:p>
    <w:p>
      <w:pPr>
        <w:pStyle w:val="ab"/>
      </w:pPr>
      <w:r>
        <w:t>发言人1 问：对于伊朗局势和美伊协议的未来走向，你们有什么看法？</w:t>
      </w:r>
    </w:p>
    <w:p>
      <w:r>
        <w:rPr>
          <w:rFonts w:ascii="等线(中文正文)" w:hAnsi="等线(中文正文)" w:cs="等线(中文正文)" w:eastAsia="等线(中文正文)"/>
          <w:b w:val="false"/>
          <w:i w:val="false"/>
          <w:sz w:val="20"/>
        </w:rPr>
        <w:t>发言人1 答：当前伊朗局势对油价具有较大影响，美国在中期选举前可能难以改变当前对伊协议的不利状况，逼迫伊朗签字的可能性不大。而快速签署协议对特朗普中期选举来说也有较大挑战。最可能的情况是美国拖着协议不签，伊朗则维持现状，导致霍尔兹海峡地区局势长期处于不确定状态。</w:t>
      </w:r>
    </w:p>
    <w:p>
      <w:r>
        <w:rPr>
          <w:rFonts w:ascii="等线(中文正文)" w:hAnsi="等线(中文正文)" w:cs="等线(中文正文)" w:eastAsia="等线(中文正文)"/>
          <w:b w:val="false"/>
          <w:i w:val="false"/>
          <w:sz w:val="20"/>
        </w:rPr>
        <w:t/>
      </w:r>
    </w:p>
    <w:p>
      <w:pPr>
        <w:pStyle w:val="ab"/>
      </w:pPr>
      <w:r>
        <w:t>发言人1 问：如果霍尔木兹海峡进入烂尾状态，对油价的影响程度如何？</w:t>
      </w:r>
    </w:p>
    <w:p>
      <w:r>
        <w:rPr>
          <w:rFonts w:ascii="等线(中文正文)" w:hAnsi="等线(中文正文)" w:cs="等线(中文正文)" w:eastAsia="等线(中文正文)"/>
          <w:b w:val="false"/>
          <w:i w:val="false"/>
          <w:sz w:val="20"/>
        </w:rPr>
        <w:t>发言人1 答：如果霍尔木兹海峡烂尾，其通行能力大概能恢复到战前50%左右。考虑通过沙特、阿曼和阿联酋等地的石油管道及其他海上运输途径，仍有约4分之1到3分之1的原油能够继续流通。因此，在烂尾状态下，整体通行能力可能恢复到战前约70%-80%的水平，对全球油价产生的冲击不会特别剧烈。</w:t>
      </w:r>
    </w:p>
    <w:p>
      <w:r>
        <w:rPr>
          <w:rFonts w:ascii="等线(中文正文)" w:hAnsi="等线(中文正文)" w:cs="等线(中文正文)" w:eastAsia="等线(中文正文)"/>
          <w:b w:val="false"/>
          <w:i w:val="false"/>
          <w:sz w:val="20"/>
        </w:rPr>
        <w:t/>
      </w:r>
    </w:p>
    <w:p>
      <w:pPr>
        <w:pStyle w:val="ab"/>
      </w:pPr>
      <w:r>
        <w:t>发言人1 问：如果海峡通行能力仅恢复一半，叠加其他渠道，会对原油市场造成多大影响？</w:t>
      </w:r>
    </w:p>
    <w:p>
      <w:r>
        <w:rPr>
          <w:rFonts w:ascii="等线(中文正文)" w:hAnsi="等线(中文正文)" w:cs="等线(中文正文)" w:eastAsia="等线(中文正文)"/>
          <w:b w:val="false"/>
          <w:i w:val="false"/>
          <w:sz w:val="20"/>
        </w:rPr>
        <w:t>发言人1 答：即使海峡通行能力只恢复到50%，加上其他渠道运出的原油比例接近40%，整体影响在供求格局上可能不会太大，大概率维持在战前70%左右的通行能力，对原油价格的影响相对有限。</w:t>
      </w:r>
    </w:p>
    <w:p>
      <w:r>
        <w:rPr>
          <w:rFonts w:ascii="等线(中文正文)" w:hAnsi="等线(中文正文)" w:cs="等线(中文正文)" w:eastAsia="等线(中文正文)"/>
          <w:b w:val="false"/>
          <w:i w:val="false"/>
          <w:sz w:val="20"/>
        </w:rPr>
        <w:t/>
      </w:r>
    </w:p>
    <w:p>
      <w:pPr>
        <w:pStyle w:val="ab"/>
      </w:pPr>
      <w:r>
        <w:t>发言人1 问：对于亚太地区来说，霍尔木兹海峡烂尾后的原油供应受影响程度如何？</w:t>
      </w:r>
    </w:p>
    <w:p>
      <w:r>
        <w:rPr>
          <w:rFonts w:ascii="等线(中文正文)" w:hAnsi="等线(中文正文)" w:cs="等线(中文正文)" w:eastAsia="等线(中文正文)"/>
          <w:b w:val="false"/>
          <w:i w:val="false"/>
          <w:sz w:val="20"/>
        </w:rPr>
        <w:t>发言人1 答：对于依赖中东原油较多的亚太地区，尤其是东亚地区，国际油价可能会低估真实的需求压力。但即便只有20%的通行能力受影响，对于亚太国家和地区而言，冲击和压力仍可接受和可控。</w:t>
      </w:r>
    </w:p>
    <w:p>
      <w:r>
        <w:rPr>
          <w:rFonts w:ascii="等线(中文正文)" w:hAnsi="等线(中文正文)" w:cs="等线(中文正文)" w:eastAsia="等线(中文正文)"/>
          <w:b w:val="false"/>
          <w:i w:val="false"/>
          <w:sz w:val="20"/>
        </w:rPr>
        <w:t/>
      </w:r>
    </w:p>
    <w:p>
      <w:pPr>
        <w:pStyle w:val="ab"/>
      </w:pPr>
      <w:r>
        <w:t>发言人1 问：当前经济数据变化是否支持美联储转向宽松货币政策？</w:t>
      </w:r>
    </w:p>
    <w:p>
      <w:r>
        <w:rPr>
          <w:rFonts w:ascii="等线(中文正文)" w:hAnsi="等线(中文正文)" w:cs="等线(中文正文)" w:eastAsia="等线(中文正文)"/>
          <w:b w:val="false"/>
          <w:i w:val="false"/>
          <w:sz w:val="20"/>
        </w:rPr>
        <w:t>发言人1 答：目前的经济数据动态变化正在向支持美联储放宽利率决策方向转变。虽然美国整体通胀率仍较高，但结尾平均通胀已回到2.5%左右，相较于目前看到的3%以上通胀率，压力有所减轻。因此，无论加息还是降息，从油价和结尾平均通胀角度考虑，下半年美联储更倾向于宽松方向演绎，且可能在九月份会议后释放出一些偏积极的信号。</w:t>
      </w:r>
    </w:p>
    <w:p>
      <w:r>
        <w:rPr>
          <w:rFonts w:ascii="等线(中文正文)" w:hAnsi="等线(中文正文)" w:cs="等线(中文正文)" w:eastAsia="等线(中文正文)"/>
          <w:b w:val="false"/>
          <w:i w:val="false"/>
          <w:sz w:val="20"/>
        </w:rPr>
        <w:t/>
      </w:r>
    </w:p>
    <w:p>
      <w:pPr>
        <w:pStyle w:val="ab"/>
      </w:pPr>
      <w:r>
        <w:t>发言人1 问：特朗普和贝森特对于宽松货币政策的态度如何？</w:t>
      </w:r>
    </w:p>
    <w:p>
      <w:r>
        <w:rPr>
          <w:rFonts w:ascii="等线(中文正文)" w:hAnsi="等线(中文正文)" w:cs="等线(中文正文)" w:eastAsia="等线(中文正文)"/>
          <w:b w:val="false"/>
          <w:i w:val="false"/>
          <w:sz w:val="20"/>
        </w:rPr>
        <w:t>发言人1 答：特朗普和贝森特目前对宽松政策有一定的诉求，在下半年中期选举年份，出于政治环境和避免难看表现的考虑，他们可能会支持一定程度的宽松政策以减轻经济压力。这也影响了海外美联储层面的决策判断，认为美债利率目前可能存在高估，未来有可能呈现下行趋势并存在配置机会。</w:t>
      </w:r>
    </w:p>
    <w:p>
      <w:r>
        <w:rPr>
          <w:rFonts w:ascii="等线(中文正文)" w:hAnsi="等线(中文正文)" w:cs="等线(中文正文)" w:eastAsia="等线(中文正文)"/>
          <w:b w:val="false"/>
          <w:i w:val="false"/>
          <w:sz w:val="20"/>
        </w:rPr>
        <w:t/>
      </w:r>
    </w:p>
    <w:p>
      <w:pPr>
        <w:pStyle w:val="ab"/>
      </w:pPr>
      <w:r>
        <w:t>发言人1 问：国内经济情况如何，政策调整的效果如何？</w:t>
      </w:r>
    </w:p>
    <w:p>
      <w:r>
        <w:rPr>
          <w:rFonts w:ascii="等线(中文正文)" w:hAnsi="等线(中文正文)" w:cs="等线(中文正文)" w:eastAsia="等线(中文正文)"/>
          <w:b w:val="false"/>
          <w:i w:val="false"/>
          <w:sz w:val="20"/>
        </w:rPr>
        <w:t>发言人1 答：从二季度开始，国内经济数据表现不佳，直到六七月份宏观政策开始加快落地，如专项债发行进度有所提升。然而，从投资下滑和经济数据来看，政策效果尚未明显显现。消费方面，上半年讨论了消费动能问题，下半年消费动能有望维持较好前景，尤其在投资端动能释放后会对消费产生积极影响。</w:t>
      </w:r>
    </w:p>
    <w:p>
      <w:r>
        <w:rPr>
          <w:rFonts w:ascii="等线(中文正文)" w:hAnsi="等线(中文正文)" w:cs="等线(中文正文)" w:eastAsia="等线(中文正文)"/>
          <w:b w:val="false"/>
          <w:i w:val="false"/>
          <w:sz w:val="20"/>
        </w:rPr>
        <w:t/>
      </w:r>
    </w:p>
    <w:p>
      <w:pPr>
        <w:pStyle w:val="ab"/>
      </w:pPr>
      <w:r>
        <w:t>发言人1 问：目前是否观察到投资企稳的迹象？</w:t>
      </w:r>
    </w:p>
    <w:p>
      <w:r>
        <w:rPr>
          <w:rFonts w:ascii="等线(中文正文)" w:hAnsi="等线(中文正文)" w:cs="等线(中文正文)" w:eastAsia="等线(中文正文)"/>
          <w:b w:val="false"/>
          <w:i w:val="false"/>
          <w:sz w:val="20"/>
        </w:rPr>
        <w:t>发言人1 答：目前为止，还未观察到投资企稳的明确迹象，但短期经济数据走弱预期在加大，这可能导致市场对于三季度经济表现较弱的预期增强。不过，经济基本面偏弱已在资产定价中得到充分反映，而当数据偏弱时，市场对于宏观政策预期会明显改善，例如对降准降息等流动性宽松措施的期待可能在四季度增强。</w:t>
      </w:r>
    </w:p>
    <w:p>
      <w:r>
        <w:rPr>
          <w:rFonts w:ascii="等线(中文正文)" w:hAnsi="等线(中文正文)" w:cs="等线(中文正文)" w:eastAsia="等线(中文正文)"/>
          <w:b w:val="false"/>
          <w:i w:val="false"/>
          <w:sz w:val="20"/>
        </w:rPr>
        <w:t/>
      </w:r>
    </w:p>
    <w:p>
      <w:pPr>
        <w:pStyle w:val="ab"/>
      </w:pPr>
      <w:r>
        <w:t>发言人1 问：流动性预期改善会对哪些资产产生影响？下半年市场机会如何？</w:t>
      </w:r>
    </w:p>
    <w:p>
      <w:r>
        <w:rPr>
          <w:rFonts w:ascii="等线(中文正文)" w:hAnsi="等线(中文正文)" w:cs="等线(中文正文)" w:eastAsia="等线(中文正文)"/>
          <w:b w:val="false"/>
          <w:i w:val="false"/>
          <w:sz w:val="20"/>
        </w:rPr>
        <w:t>发言人1 答：流动性预期改善可能支撑一些均衡性、红利类、周期性资产的表现，特别是在九月份之前，当宏观政策和流动性的预期加强时，这些资产类别可能会迎来交易机会。此外，若降准降息兑现，流动性宽松也将对债市和整个市场带来积极影响。下半年市场相较于上半年经历高弹性、高拥挤、高波动后呈现收敛状态，但并不意味着没有机会。尤其是在四季度，如果中美两国都有宽松预期情景的变化，海外美债利率定价偏高，而国内在降准降息兑现后，收益率下行空间较大，这将有利于股市尤其是偏稳定型、平衡型、红利型和周期性的资产交易窗口期和机会出现。</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2026-08-23T14:15:06Z</dcterms:created>
  <dc:creator>Apache POI</dc:creator>
</cp:coreProperties>
</file>