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app.xml" Type="http://schemas.openxmlformats.org/officeDocument/2006/relationships/extended-properties"/><Relationship Id="rId3" Target="docProps/core.xml" Type="http://schemas.openxmlformats.org/package/2006/relationships/metadata/core-properties"/></Relationships>
</file>

<file path=word/document.xml><?xml version="1.0" encoding="utf-8"?>
<w:document xmlns:w="http://schemas.openxmlformats.org/wordprocessingml/2006/main">
  <w:body>
    <w:p>
      <w:pPr>
        <w:pStyle w:val="ac"/>
      </w:pPr>
      <w:r>
        <w:t>东财能源开采 _ 金属每周谈（第32期） 260823_导读</w:t>
      </w:r>
    </w:p>
    <w:p>
      <w:pPr>
        <w:pStyle w:val="a0"/>
        <w:jc w:val="center"/>
      </w:pPr>
      <w:r>
        <w:t>2026年08月23日 22:06</w:t>
      </w:r>
    </w:p>
    <w:p>
      <w:pPr>
        <w:pStyle w:val="a7"/>
      </w:pPr>
      <w:r>
        <w:t>关键词</w:t>
      </w:r>
    </w:p>
    <w:p>
      <w:r>
        <w:rPr>
          <w:rFonts w:ascii="等线(中文正文)" w:hAnsi="等线(中文正文)" w:cs="等线(中文正文)" w:eastAsia="等线(中文正文)"/>
          <w:b w:val="false"/>
          <w:i w:val="false"/>
          <w:sz w:val="20"/>
        </w:rPr>
        <w:t xml:space="preserve">贵金属 黄金价格 铜板块 美国财政部 央行 硫酸 天然釉 长线资金 电解铝 避险 流动性 货币政策 成本支撑 供需预期 金融属性 关税 铜矿 硫酸厂 古生物化石 产量指引 </w:t>
      </w:r>
    </w:p>
    <w:p>
      <w:r>
        <w:rPr>
          <w:rFonts w:ascii="等线(中文正文)" w:hAnsi="等线(中文正文)" w:cs="等线(中文正文)" w:eastAsia="等线(中文正文)"/>
          <w:b w:val="false"/>
          <w:i w:val="false"/>
          <w:sz w:val="20"/>
        </w:rPr>
        <w:t/>
      </w:r>
    </w:p>
    <w:p>
      <w:pPr>
        <w:pStyle w:val="a7"/>
      </w:pPr>
      <w:r>
        <w:t>全文摘要</w:t>
      </w:r>
    </w:p>
    <w:p>
      <w:r>
        <w:rPr>
          <w:rFonts w:ascii="等线(中文正文)" w:hAnsi="等线(中文正文)" w:cs="等线(中文正文)" w:eastAsia="等线(中文正文)"/>
          <w:b w:val="false"/>
          <w:i w:val="false"/>
          <w:sz w:val="20"/>
        </w:rPr>
        <w:t>上周市场整体平稳后，分析认为可能转入由守转攻阶段，对短期板块和价格走势持积极态度。南山等公司业绩符合预期，尽管铝加工受损，但业绩稳健，分红大方，海外产能具成长性。贵金属和铜板块投资价值受关注，黄金价格突破1000元每克，市场关注其价格空间及配置价值。铜板块库存变化和价格走势亦被分析。贵金属及小金属如天然铀供需缺口扩大，预示长期上涨趋势。建议关注中国铀业、中广核矿业和万里石等标的，因其具有增长潜力和合理估值。整体市场对这些板块和标的持乐观预期。</w:t>
      </w:r>
    </w:p>
    <w:p>
      <w:r>
        <w:rPr>
          <w:rFonts w:ascii="等线(中文正文)" w:hAnsi="等线(中文正文)" w:cs="等线(中文正文)" w:eastAsia="等线(中文正文)"/>
          <w:b w:val="false"/>
          <w:i w:val="false"/>
          <w:sz w:val="20"/>
        </w:rPr>
        <w:t/>
      </w:r>
    </w:p>
    <w:p>
      <w:pPr>
        <w:pStyle w:val="a7"/>
      </w:pPr>
      <w:r>
        <w:t>章节速览</w:t>
      </w:r>
    </w:p>
    <w:p>
      <w:pPr>
        <w:pStyle w:val="ab"/>
        <w:numPr>
          <w:numId w:val="1"/>
        </w:numPr>
      </w:pPr>
      <w:r>
        <w:t>00:00 贵金属与铜板块市场分析及投资价值探讨</w:t>
      </w:r>
    </w:p>
    <w:p>
      <w:r>
        <w:rPr>
          <w:rFonts w:ascii="等线(中文正文)" w:hAnsi="等线(中文正文)" w:cs="等线(中文正文)" w:eastAsia="等线(中文正文)"/>
          <w:b w:val="false"/>
          <w:i w:val="false"/>
          <w:sz w:val="20"/>
        </w:rPr>
        <w:t>对话围绕贵金属和铜板块的市场变化及投资价值展开，指出黄金价格站上1000元每克，贵金属板块估值修复，讨论其后市空间与配置价值。同时，关注铜板块显性库存微增对价格的影响，评估基本面是否出现反转迹象。强调南山等企业业绩稳健，海外项目确定性高，具备投资潜力，看好整体板块的投资价值。</w:t>
      </w:r>
    </w:p>
    <w:p>
      <w:r>
        <w:rPr>
          <w:rFonts w:ascii="等线(中文正文)" w:hAnsi="等线(中文正文)" w:cs="等线(中文正文)" w:eastAsia="等线(中文正文)"/>
          <w:b w:val="false"/>
          <w:i w:val="false"/>
          <w:sz w:val="20"/>
        </w:rPr>
        <w:t/>
      </w:r>
    </w:p>
    <w:p>
      <w:pPr>
        <w:pStyle w:val="ab"/>
        <w:numPr>
          <w:numId w:val="2"/>
        </w:numPr>
      </w:pPr>
      <w:r>
        <w:t>02:43 黄金价格持续上涨的基础与长线资金流入</w:t>
      </w:r>
    </w:p>
    <w:p>
      <w:r>
        <w:rPr>
          <w:rFonts w:ascii="等线(中文正文)" w:hAnsi="等线(中文正文)" w:cs="等线(中文正文)" w:eastAsia="等线(中文正文)"/>
          <w:b w:val="false"/>
          <w:i w:val="false"/>
          <w:sz w:val="20"/>
        </w:rPr>
        <w:t>对话讨论了美国财政部干预长期国债市场对黄金板块的利好影响，以及高债务水平下黄金作为避险资产的价值。分析指出，财政部的回购操作虽缓解市场流动性，但无法根本解决财政赤字问题，市场对长期美债定价中已体现风险溢价，黄金价格因此具备持续上涨的基础。此外，长线资金如央行持续购买黄金，以及欧美ETF等弹性资金的逐步配置，进一步支撑了黄金价格的上涨空间。</w:t>
      </w:r>
    </w:p>
    <w:p>
      <w:r>
        <w:rPr>
          <w:rFonts w:ascii="等线(中文正文)" w:hAnsi="等线(中文正文)" w:cs="等线(中文正文)" w:eastAsia="等线(中文正文)"/>
          <w:b w:val="false"/>
          <w:i w:val="false"/>
          <w:sz w:val="20"/>
        </w:rPr>
        <w:t/>
      </w:r>
    </w:p>
    <w:p>
      <w:pPr>
        <w:pStyle w:val="ab"/>
        <w:numPr>
          <w:numId w:val="3"/>
        </w:numPr>
      </w:pPr>
      <w:r>
        <w:t>07:44 贵金属与港股黄金股的投资策略分析</w:t>
      </w:r>
    </w:p>
    <w:p>
      <w:r>
        <w:rPr>
          <w:rFonts w:ascii="等线(中文正文)" w:hAnsi="等线(中文正文)" w:cs="等线(中文正文)" w:eastAsia="等线(中文正文)"/>
          <w:b w:val="false"/>
          <w:i w:val="false"/>
          <w:sz w:val="20"/>
        </w:rPr>
        <w:t>讨论了在长线资金配置为主的背景下，关注货币政策预期对市场的影响。基于SCME3 watch数据，九月加息概率为40%，年内加息概率为72%。推荐港股黄金股，如紫金黄金国际、领宝黄金、招金矿业，因其双重贝塔效应。A股方面，中金黄金估值低位，白银作为高弹性标的值得关注。</w:t>
      </w:r>
    </w:p>
    <w:p>
      <w:r>
        <w:rPr>
          <w:rFonts w:ascii="等线(中文正文)" w:hAnsi="等线(中文正文)" w:cs="等线(中文正文)" w:eastAsia="等线(中文正文)"/>
          <w:b w:val="false"/>
          <w:i w:val="false"/>
          <w:sz w:val="20"/>
        </w:rPr>
        <w:t/>
      </w:r>
    </w:p>
    <w:p>
      <w:pPr>
        <w:pStyle w:val="ab"/>
        <w:numPr>
          <w:numId w:val="4"/>
        </w:numPr>
      </w:pPr>
      <w:r>
        <w:t>10:21 贵金属与铜板块市场分析及投资建议</w:t>
      </w:r>
    </w:p>
    <w:p>
      <w:r>
        <w:rPr>
          <w:rFonts w:ascii="等线(中文正文)" w:hAnsi="等线(中文正文)" w:cs="等线(中文正文)" w:eastAsia="等线(中文正文)"/>
          <w:b w:val="false"/>
          <w:i w:val="false"/>
          <w:sz w:val="20"/>
        </w:rPr>
        <w:t>对话深入分析了贵金属和铜板块的市场状况，指出贵金属投资具有较大上涨潜力，推荐关注盛达资源和信银西。对于铜板块，尽管库存有所增加，但现货紧张状态未改，预计价格有修复空间，建议积极关注西部矿业等核心标的。整体观点乐观，强调金融属性修复和供需预期改善对价格的正面影响。</w:t>
      </w:r>
    </w:p>
    <w:p>
      <w:r>
        <w:rPr>
          <w:rFonts w:ascii="等线(中文正文)" w:hAnsi="等线(中文正文)" w:cs="等线(中文正文)" w:eastAsia="等线(中文正文)"/>
          <w:b w:val="false"/>
          <w:i w:val="false"/>
          <w:sz w:val="20"/>
        </w:rPr>
        <w:t/>
      </w:r>
    </w:p>
    <w:p>
      <w:pPr>
        <w:pStyle w:val="ab"/>
        <w:numPr>
          <w:numId w:val="5"/>
        </w:numPr>
      </w:pPr>
      <w:r>
        <w:t>15:40 天然釉市场供需变化与价格预期分析</w:t>
      </w:r>
    </w:p>
    <w:p>
      <w:r>
        <w:rPr>
          <w:rFonts w:ascii="等线(中文正文)" w:hAnsi="等线(中文正文)" w:cs="等线(中文正文)" w:eastAsia="等线(中文正文)"/>
          <w:b w:val="false"/>
          <w:i w:val="false"/>
          <w:sz w:val="20"/>
        </w:rPr>
        <w:t>报告分析了天然釉市场供需缺口持续扩大的背景，指出哈萨克斯坦硫酸厂建设延期导致2027年硫酸供应不足，影响天然釉产量，可能下调全球增量预期至5%以下。同时，美银上调2027年天然釉价格预期至130美元每磅，基于供应紧张、电力企业合约覆盖率下降及核电投资增长。全球99%的天然釉用于核能发电，核电需求增长伴随库存需求，预计至2030年复合增速3.1%。</w:t>
      </w:r>
    </w:p>
    <w:p>
      <w:r>
        <w:rPr>
          <w:rFonts w:ascii="等线(中文正文)" w:hAnsi="等线(中文正文)" w:cs="等线(中文正文)" w:eastAsia="等线(中文正文)"/>
          <w:b w:val="false"/>
          <w:i w:val="false"/>
          <w:sz w:val="20"/>
        </w:rPr>
        <w:t/>
      </w:r>
    </w:p>
    <w:p>
      <w:pPr>
        <w:pStyle w:val="ab"/>
        <w:numPr>
          <w:numId w:val="6"/>
        </w:numPr>
      </w:pPr>
      <w:r>
        <w:t>21:09 天然铀供需分析与价格预测</w:t>
      </w:r>
    </w:p>
    <w:p>
      <w:r>
        <w:rPr>
          <w:rFonts w:ascii="等线(中文正文)" w:hAnsi="等线(中文正文)" w:cs="等线(中文正文)" w:eastAsia="等线(中文正文)"/>
          <w:b w:val="false"/>
          <w:i w:val="false"/>
          <w:sz w:val="20"/>
        </w:rPr>
        <w:t>对话深入探讨了全球天然铀市场的供需情况，指出原生矿供应增速有限，哈萨克斯坦硫酸供应瓶颈加剧供给压力，二次供应如铀浓缩尾料回收及乏燃料回收均面临挑战，导致回收量持续收缩。需求方面，核能发电量增长及库存需求同步扩张，预计未来五年乃至十年天然铀供需缺口将持续扩大，看好天然铀价格长期上涨趋势。</w:t>
      </w:r>
    </w:p>
    <w:p>
      <w:r>
        <w:rPr>
          <w:rFonts w:ascii="等线(中文正文)" w:hAnsi="等线(中文正文)" w:cs="等线(中文正文)" w:eastAsia="等线(中文正文)"/>
          <w:b w:val="false"/>
          <w:i w:val="false"/>
          <w:sz w:val="20"/>
        </w:rPr>
        <w:t/>
      </w:r>
    </w:p>
    <w:p>
      <w:pPr>
        <w:pStyle w:val="ab"/>
        <w:numPr>
          <w:numId w:val="7"/>
        </w:numPr>
      </w:pPr>
      <w:r>
        <w:t>22:42 中国药业、中广核矿业与万里石的项目进展与未来展望</w:t>
      </w:r>
    </w:p>
    <w:p>
      <w:r>
        <w:rPr>
          <w:rFonts w:ascii="等线(中文正文)" w:hAnsi="等线(中文正文)" w:cs="等线(中文正文)" w:eastAsia="等线(中文正文)"/>
          <w:b w:val="false"/>
          <w:i w:val="false"/>
          <w:sz w:val="20"/>
        </w:rPr>
        <w:t>中国药业的ITO项目资金使用率超70%，预计2027至2028年产量增长；中广核矿业2026年起长协价格高于现货，业绩预期向好；万里石通过收购进入天然釉开采，未来将参与生产获取利润。三家公司均展现出良好的发展势头与投资价值。</w:t>
      </w:r>
    </w:p>
    <w:p>
      <w:r>
        <w:rPr>
          <w:rFonts w:ascii="等线(中文正文)" w:hAnsi="等线(中文正文)" w:cs="等线(中文正文)" w:eastAsia="等线(中文正文)"/>
          <w:b w:val="false"/>
          <w:i w:val="false"/>
          <w:sz w:val="20"/>
        </w:rPr>
        <w:t/>
      </w:r>
    </w:p>
    <w:p>
      <w:pPr>
        <w:pStyle w:val="a7"/>
      </w:pPr>
      <w:r>
        <w:t>发言总结</w:t>
      </w:r>
    </w:p>
    <w:p>
      <w:pPr>
        <w:pStyle w:val="ab"/>
        <w:numPr>
          <w:numId w:val="8"/>
        </w:numPr>
      </w:pPr>
      <w:r>
        <w:t>发言人1</w:t>
      </w:r>
    </w:p>
    <w:p>
      <w:r>
        <w:rPr>
          <w:rFonts w:ascii="等线(中文正文)" w:hAnsi="等线(中文正文)" w:cs="等线(中文正文)" w:eastAsia="等线(中文正文)"/>
          <w:b w:val="false"/>
          <w:i w:val="false"/>
          <w:sz w:val="20"/>
        </w:rPr>
        <w:t>他首先回顾了上周市场表现，预期将进入由守转攻的阶段，并对短期板块和价格走势持积极态度。提到南山集团业绩符合预期，尽管铝加工受到一定影响，但总体稳健，分红大方，且海外产能项目具有较高确定性，显示出成长潜力。他还分析了贵金属和铜板块的资金流动及市场变化，指出黄金价格站上关键点位，市场关注其上涨空间及配置价值；同时，尽管铜板块库存有所增加，但现货紧张状况持续，强调了西藏铜矿、西部矿业等成长性标的的积极关注点。此外，讨论了天然铀市场的供需情况，强调供应紧张导致的长期价格上行逻辑，推荐了中国铀业、中广核矿业等作为重点投资标的。他总结指出，在市场由守转攻的背景下，相关板块和标的展现出良好的投资价值。</w:t>
      </w:r>
    </w:p>
    <w:p>
      <w:r>
        <w:rPr>
          <w:rFonts w:ascii="等线(中文正文)" w:hAnsi="等线(中文正文)" w:cs="等线(中文正文)" w:eastAsia="等线(中文正文)"/>
          <w:b w:val="false"/>
          <w:i w:val="false"/>
          <w:sz w:val="20"/>
        </w:rPr>
        <w:t/>
      </w:r>
    </w:p>
    <w:p>
      <w:pPr>
        <w:pStyle w:val="a7"/>
      </w:pPr>
      <w:r>
        <w:t>要点回顾</w:t>
      </w:r>
    </w:p>
    <w:p>
      <w:pPr>
        <w:pStyle w:val="ab"/>
      </w:pPr>
      <w:r>
        <w:t>上周整个板块的情况如何，有哪些积极的信号？</w:t>
      </w:r>
    </w:p>
    <w:p>
      <w:r>
        <w:rPr>
          <w:rFonts w:ascii="等线(中文正文)" w:hAnsi="等线(中文正文)" w:cs="等线(中文正文)" w:eastAsia="等线(中文正文)"/>
          <w:b w:val="false"/>
          <w:i w:val="false"/>
          <w:sz w:val="20"/>
        </w:rPr>
        <w:t>发言人1：上周整体比较平稳，我们观察到的信号表明该板块可能即将从防守转向进攻阶段，因此我们对短期的板块和价格走势持积极态度。从具体标的来看，南山铝业发布的业绩符合预期，尽管同比业绩不如部分电解铝公司亮眼，但由于其铝加工受到一定影响，但整体业绩稳健，并且分红大方。海外产能方面，印尼项目的确定性较高，成长性相对较好。综合考虑，整个板块具备较好的投资价值，包括虹桥、红创、天山、中服、南山以及中铝等都是值得关注和配置的选择。</w:t>
      </w:r>
    </w:p>
    <w:p>
      <w:r>
        <w:rPr>
          <w:rFonts w:ascii="等线(中文正文)" w:hAnsi="等线(中文正文)" w:cs="等线(中文正文)" w:eastAsia="等线(中文正文)"/>
          <w:b w:val="false"/>
          <w:i w:val="false"/>
          <w:sz w:val="20"/>
        </w:rPr>
        <w:t/>
      </w:r>
    </w:p>
    <w:p>
      <w:pPr>
        <w:pStyle w:val="ab"/>
      </w:pPr>
      <w:r>
        <w:t>过去一周市场主要关注的两个问题是什么？</w:t>
      </w:r>
    </w:p>
    <w:p>
      <w:r>
        <w:rPr>
          <w:rFonts w:ascii="等线(中文正文)" w:hAnsi="等线(中文正文)" w:cs="等线(中文正文)" w:eastAsia="等线(中文正文)"/>
          <w:b w:val="false"/>
          <w:i w:val="false"/>
          <w:sz w:val="20"/>
        </w:rPr>
        <w:t>发言人1：过去一周，市场核心关注的问题有两个。一是黄金价格已站上1000元每克，且贵金属板块估值有所修复，投资者关心后续黄金价格能有多大的上升空间以及黄金股票是否仍具有更强的配置价值。二是同板块内，由于短期显性库存微增，市场在讨论这是否意味着基本面出现反转情况。</w:t>
      </w:r>
    </w:p>
    <w:p>
      <w:r>
        <w:rPr>
          <w:rFonts w:ascii="等线(中文正文)" w:hAnsi="等线(中文正文)" w:cs="等线(中文正文)" w:eastAsia="等线(中文正文)"/>
          <w:b w:val="false"/>
          <w:i w:val="false"/>
          <w:sz w:val="20"/>
        </w:rPr>
        <w:t/>
      </w:r>
    </w:p>
    <w:p>
      <w:pPr>
        <w:pStyle w:val="ab"/>
      </w:pPr>
      <w:r>
        <w:t>这次电话会主要解答了哪两个疑问？美国财政部加大国债回购规模背后反映的核心问题是什么？</w:t>
      </w:r>
    </w:p>
    <w:p>
      <w:r>
        <w:rPr>
          <w:rFonts w:ascii="等线(中文正文)" w:hAnsi="等线(中文正文)" w:cs="等线(中文正文)" w:eastAsia="等线(中文正文)"/>
          <w:b w:val="false"/>
          <w:i w:val="false"/>
          <w:sz w:val="20"/>
        </w:rPr>
        <w:t>发言人1：电话会核心解答了两个疑问。第一个问题是关于贵金属角度下，在美国财政部近期加大长期国债市场干预力度，如扩大回购规模等措施下，对于黄金板块的利好影响以及流动性改善和缓解国债收益率飙升带来的市场冲击的具体情况。第二个问题是针对市场上关于贵金属板块库存上升是否预示着基本面反转的疑问。核心问题是美国联邦政府债务总额首次突破40万亿美元，相较于之前的增速不仅没有下降反而有所提升，导致财年利息支出接近1.2万亿美元。这种高昂债务规模在高利率环境下显得不太可持续，财政部因此采取类似收益率曲线控制的措施（YCC），但有限的回购规模无法从根本上消除财政赤字。</w:t>
      </w:r>
    </w:p>
    <w:p>
      <w:r>
        <w:rPr>
          <w:rFonts w:ascii="等线(中文正文)" w:hAnsi="等线(中文正文)" w:cs="等线(中文正文)" w:eastAsia="等线(中文正文)"/>
          <w:b w:val="false"/>
          <w:i w:val="false"/>
          <w:sz w:val="20"/>
        </w:rPr>
        <w:t/>
      </w:r>
    </w:p>
    <w:p>
      <w:pPr>
        <w:pStyle w:val="ab"/>
      </w:pPr>
      <w:r>
        <w:t>当前黄金价格上涨的基础是什么？央行的态度如何影响黄金市场？黄金价格未来的走势如何？有哪些关键因素需要关注？</w:t>
      </w:r>
    </w:p>
    <w:p>
      <w:r>
        <w:rPr>
          <w:rFonts w:ascii="等线(中文正文)" w:hAnsi="等线(中文正文)" w:cs="等线(中文正文)" w:eastAsia="等线(中文正文)"/>
          <w:b w:val="false"/>
          <w:i w:val="false"/>
          <w:sz w:val="20"/>
        </w:rPr>
        <w:t>发言人1：当前黄金价格具备持续上涨或中枢逐步抬升的基础，主要是由于市场对于长期美债定价体现出的风险溢价增加，以及央行持续减持美债并转向购买黄金。例如，中国人民银行在过去几年内持续减持美债，并用减持所得资金部分购入黄金，导致央行实际动作中减持约1000亿美元美债同时购买了约200亿美元黄金。黄金价格在长线资金稳定流入和短期弹性资金加大配置的背景下，有望保持上涨态势。加息预期方面，目前市场预期九月加息的概率为40%，年内至少加息一次的概率维持在72%。随着加息预期边际反转，黄金价格的反弹空间较大。在权益投资方面，港股黄金股如紫金矿业等，因其同时受益于美元流动性宽松带来的市场贝塔和金价上涨带来的行业贝塔，具有较高的配置价值。</w:t>
      </w:r>
    </w:p>
    <w:p>
      <w:r>
        <w:rPr>
          <w:rFonts w:ascii="等线(中文正文)" w:hAnsi="等线(中文正文)" w:cs="等线(中文正文)" w:eastAsia="等线(中文正文)"/>
          <w:b w:val="false"/>
          <w:i w:val="false"/>
          <w:sz w:val="20"/>
        </w:rPr>
        <w:t/>
      </w:r>
    </w:p>
    <w:p>
      <w:pPr>
        <w:pStyle w:val="ab"/>
      </w:pPr>
      <w:r>
        <w:t>在贵金属板块中，有哪些公司估值较低且具有配置价值？</w:t>
      </w:r>
    </w:p>
    <w:p>
      <w:r>
        <w:rPr>
          <w:rFonts w:ascii="等线(中文正文)" w:hAnsi="等线(中文正文)" w:cs="等线(中文正文)" w:eastAsia="等线(中文正文)"/>
          <w:b w:val="false"/>
          <w:i w:val="false"/>
          <w:sz w:val="20"/>
        </w:rPr>
        <w:t>发言人1：领宝黄金的估值绝对较低，修复后估值水平在9到10倍左右。招金矿业虽然受到矿难影响，但股价已充分反映，其配置价值较为明确。此外，A股方面推荐中金黄金，因其估值也处于绝对低位。在贵金属品种中，白银因其高弹性而值得关注。</w:t>
      </w:r>
    </w:p>
    <w:p>
      <w:r>
        <w:rPr>
          <w:rFonts w:ascii="等线(中文正文)" w:hAnsi="等线(中文正文)" w:cs="等线(中文正文)" w:eastAsia="等线(中文正文)"/>
          <w:b w:val="false"/>
          <w:i w:val="false"/>
          <w:sz w:val="20"/>
        </w:rPr>
        <w:t/>
      </w:r>
    </w:p>
    <w:p>
      <w:pPr>
        <w:pStyle w:val="ab"/>
      </w:pPr>
      <w:r>
        <w:t>铜板块库存情况如何？是否对价格走势构成压力？</w:t>
      </w:r>
    </w:p>
    <w:p>
      <w:r>
        <w:rPr>
          <w:rFonts w:ascii="等线(中文正文)" w:hAnsi="等线(中文正文)" w:cs="等线(中文正文)" w:eastAsia="等线(中文正文)"/>
          <w:b w:val="false"/>
          <w:i w:val="false"/>
          <w:sz w:val="20"/>
        </w:rPr>
        <w:t>发言人1：全球三大交易所电解铜总库存为100.2万吨，周环比增加5.9%。虽然库存数据有所增长，但从各个交易所的情况看，现货紧张状态仍在持续。虽然库存上升可能弱化了现货紧张的情况，但整体上现货紧张态势未改，不必过分担忧，铜板块仍可积极看待。</w:t>
      </w:r>
    </w:p>
    <w:p>
      <w:r>
        <w:rPr>
          <w:rFonts w:ascii="等线(中文正文)" w:hAnsi="等线(中文正文)" w:cs="等线(中文正文)" w:eastAsia="等线(中文正文)"/>
          <w:b w:val="false"/>
          <w:i w:val="false"/>
          <w:sz w:val="20"/>
        </w:rPr>
        <w:t/>
      </w:r>
    </w:p>
    <w:p>
      <w:pPr>
        <w:pStyle w:val="ab"/>
      </w:pPr>
      <w:r>
        <w:t>目前铜价结构有何变化？对未来走势有何预期？</w:t>
      </w:r>
    </w:p>
    <w:p>
      <w:r>
        <w:rPr>
          <w:rFonts w:ascii="等线(中文正文)" w:hAnsi="等线(中文正文)" w:cs="等线(中文正文)" w:eastAsia="等线(中文正文)"/>
          <w:b w:val="false"/>
          <w:i w:val="false"/>
          <w:sz w:val="20"/>
        </w:rPr>
        <w:t>发言人1：目前铜价结构与今年1月份相比有较大差异，成本支撑、供需预期及金融属性修复三个板块的表现不同。当时成本支撑在7000-8000美元/吨，供需预期和金融属性在5000-6000美元/吨，对应货币流动性充裕的状态。而现在成本支撑上升至1万-11000美元/吨，供需预期和金融属性在三四千美元/吨。随着黄金价格企稳，铜价有可能从目前三四千美元/吨回升至1月份的五六千美元/吨。</w:t>
      </w:r>
    </w:p>
    <w:p>
      <w:r>
        <w:rPr>
          <w:rFonts w:ascii="等线(中文正文)" w:hAnsi="等线(中文正文)" w:cs="等线(中文正文)" w:eastAsia="等线(中文正文)"/>
          <w:b w:val="false"/>
          <w:i w:val="false"/>
          <w:sz w:val="20"/>
        </w:rPr>
        <w:t/>
      </w:r>
    </w:p>
    <w:p>
      <w:pPr>
        <w:pStyle w:val="ab"/>
      </w:pPr>
      <w:r>
        <w:t>美国对进口铜关税政策临近，对铜板块有何影响？</w:t>
      </w:r>
    </w:p>
    <w:p>
      <w:r>
        <w:rPr>
          <w:rFonts w:ascii="等线(中文正文)" w:hAnsi="等线(中文正文)" w:cs="等线(中文正文)" w:eastAsia="等线(中文正文)"/>
          <w:b w:val="false"/>
          <w:i w:val="false"/>
          <w:sz w:val="20"/>
        </w:rPr>
        <w:t>发言人1：目前市场对于美国即将实施的关税政策持观望态度，但预计大概率会加征关税或维持加税预期，这对铜价影响有限。</w:t>
      </w:r>
    </w:p>
    <w:p>
      <w:r>
        <w:rPr>
          <w:rFonts w:ascii="等线(中文正文)" w:hAnsi="等线(中文正文)" w:cs="等线(中文正文)" w:eastAsia="等线(中文正文)"/>
          <w:b w:val="false"/>
          <w:i w:val="false"/>
          <w:sz w:val="20"/>
        </w:rPr>
        <w:t/>
      </w:r>
    </w:p>
    <w:p>
      <w:pPr>
        <w:pStyle w:val="ab"/>
      </w:pPr>
      <w:r>
        <w:t>对于铜板块的成长性标的有哪些推荐？</w:t>
      </w:r>
    </w:p>
    <w:p>
      <w:r>
        <w:rPr>
          <w:rFonts w:ascii="等线(中文正文)" w:hAnsi="等线(中文正文)" w:cs="等线(中文正文)" w:eastAsia="等线(中文正文)"/>
          <w:b w:val="false"/>
          <w:i w:val="false"/>
          <w:sz w:val="20"/>
        </w:rPr>
        <w:t>发言人1：在铜板块成长性方面，可以积极关注西藏地区的铜矿核心标的，如西部矿业、中国黄金国际和藏族矿业等公司。</w:t>
      </w:r>
    </w:p>
    <w:p>
      <w:r>
        <w:rPr>
          <w:rFonts w:ascii="等线(中文正文)" w:hAnsi="等线(中文正文)" w:cs="等线(中文正文)" w:eastAsia="等线(中文正文)"/>
          <w:b w:val="false"/>
          <w:i w:val="false"/>
          <w:sz w:val="20"/>
        </w:rPr>
        <w:t/>
      </w:r>
    </w:p>
    <w:p>
      <w:pPr>
        <w:pStyle w:val="ab"/>
      </w:pPr>
      <w:r>
        <w:t>天然铀板块近期有哪些重要边际变化？</w:t>
      </w:r>
    </w:p>
    <w:p>
      <w:r>
        <w:rPr>
          <w:rFonts w:ascii="等线(中文正文)" w:hAnsi="等线(中文正文)" w:cs="等线(中文正文)" w:eastAsia="等线(中文正文)"/>
          <w:b w:val="false"/>
          <w:i w:val="false"/>
          <w:sz w:val="20"/>
        </w:rPr>
        <w:t>发言人1：哈萨克斯坦国家原子能工业公司（哈员工）发布的2026年中报显示，硫酸厂建设延期约12个月，这将导致哈萨克斯坦2027年面临硫酸供应不足问题，直接影响天然铀矿开采，可能导致全球天然铀产量在2027年出现下调。</w:t>
      </w:r>
    </w:p>
    <w:p>
      <w:r>
        <w:rPr>
          <w:rFonts w:ascii="等线(中文正文)" w:hAnsi="等线(中文正文)" w:cs="等线(中文正文)" w:eastAsia="等线(中文正文)"/>
          <w:b w:val="false"/>
          <w:i w:val="false"/>
          <w:sz w:val="20"/>
        </w:rPr>
        <w:t/>
      </w:r>
    </w:p>
    <w:p>
      <w:pPr>
        <w:pStyle w:val="ab"/>
      </w:pPr>
      <w:r>
        <w:t>2027年全球天然铀的产量是否会下修，以及其需求情况如何？</w:t>
      </w:r>
    </w:p>
    <w:p>
      <w:r>
        <w:rPr>
          <w:rFonts w:ascii="等线(中文正文)" w:hAnsi="等线(中文正文)" w:cs="等线(中文正文)" w:eastAsia="等线(中文正文)"/>
          <w:b w:val="false"/>
          <w:i w:val="false"/>
          <w:sz w:val="20"/>
        </w:rPr>
        <w:t>发言人1：预计2027年员工天然铀的产量大概率会下修，原本预计增加4000吨，但全球其他矿山项目增量仅为1600吨。如果员工的增量不及预期，全球天然铀增量可能回落到5%以下。同时，美银上调了2027年天然铀价格预期至130美元每磅，需求端方面，由于供应紧张、电力企业合约覆盖率下降以及核电投资持续增长，全球99%的铀矿用于核能发电，根据IEA数据，到2030年全球核电发电复合增速为3.1%，并且核电厂需要维持大约三年的核燃料备库，这将带来稳定的库存需求增长。</w:t>
      </w:r>
    </w:p>
    <w:p>
      <w:r>
        <w:rPr>
          <w:rFonts w:ascii="等线(中文正文)" w:hAnsi="等线(中文正文)" w:cs="等线(中文正文)" w:eastAsia="等线(中文正文)"/>
          <w:b w:val="false"/>
          <w:i w:val="false"/>
          <w:sz w:val="20"/>
        </w:rPr>
        <w:t/>
      </w:r>
    </w:p>
    <w:p>
      <w:pPr>
        <w:pStyle w:val="ab"/>
      </w:pPr>
      <w:r>
        <w:t>核电厂对于天然铀的需求具体体现在哪些方面？</w:t>
      </w:r>
    </w:p>
    <w:p>
      <w:r>
        <w:rPr>
          <w:rFonts w:ascii="等线(中文正文)" w:hAnsi="等线(中文正文)" w:cs="等线(中文正文)" w:eastAsia="等线(中文正文)"/>
          <w:b w:val="false"/>
          <w:i w:val="false"/>
          <w:sz w:val="20"/>
        </w:rPr>
        <w:t>发言人1：核电厂需保持约三年的核燃料备库，以满足两次换料周期（每次约16-18个月）的需求，因此倾向于提前采购并多储备原料。这意味着随着全球核电发电量3.1%的增长，配套的库存需求也会有类似的增长。</w:t>
      </w:r>
    </w:p>
    <w:p>
      <w:r>
        <w:rPr>
          <w:rFonts w:ascii="等线(中文正文)" w:hAnsi="等线(中文正文)" w:cs="等线(中文正文)" w:eastAsia="等线(中文正文)"/>
          <w:b w:val="false"/>
          <w:i w:val="false"/>
          <w:sz w:val="20"/>
        </w:rPr>
        <w:t/>
      </w:r>
    </w:p>
    <w:p>
      <w:pPr>
        <w:pStyle w:val="ab"/>
      </w:pPr>
      <w:r>
        <w:t>天然铀二次供应的情况如何？</w:t>
      </w:r>
    </w:p>
    <w:p>
      <w:r>
        <w:rPr>
          <w:rFonts w:ascii="等线(中文正文)" w:hAnsi="等线(中文正文)" w:cs="等线(中文正文)" w:eastAsia="等线(中文正文)"/>
          <w:b w:val="false"/>
          <w:i w:val="false"/>
          <w:sz w:val="20"/>
        </w:rPr>
        <w:t>发言人1：二次供应主要包括铀浓缩厂尾料回收和乏燃料回收两部分。目前全球铀浓缩产能偏紧，分离费用较高，导致尾料回收经济性差，供应正在收缩。乏燃料回收技术门槛高，短期难以看到增量供应。</w:t>
      </w:r>
    </w:p>
    <w:p>
      <w:r>
        <w:rPr>
          <w:rFonts w:ascii="等线(中文正文)" w:hAnsi="等线(中文正文)" w:cs="等线(中文正文)" w:eastAsia="等线(中文正文)"/>
          <w:b w:val="false"/>
          <w:i w:val="false"/>
          <w:sz w:val="20"/>
        </w:rPr>
        <w:t/>
      </w:r>
    </w:p>
    <w:p>
      <w:pPr>
        <w:pStyle w:val="ab"/>
      </w:pPr>
      <w:r>
        <w:t>当前天然铀供需状况如何，以及对未来价格走势的判断？</w:t>
      </w:r>
    </w:p>
    <w:p>
      <w:r>
        <w:rPr>
          <w:rFonts w:ascii="等线(中文正文)" w:hAnsi="等线(中文正文)" w:cs="等线(中文正文)" w:eastAsia="等线(中文正文)"/>
          <w:b w:val="false"/>
          <w:i w:val="false"/>
          <w:sz w:val="20"/>
        </w:rPr>
        <w:t>发言人1：全球原生天然铀矿供给增速不足4%，加上哈萨克斯坦硫酸供应瓶颈持续，供给增速有进一步下修压力。同时，回收端供应收缩，而需求端在核能发电量增长的同时，库存需求也在扩张，导致天然铀供需缺口持续扩大并累积。因此，我们看好未来五年甚至十年天然铀的价格表现，呈现长期牛市逻辑。</w:t>
      </w:r>
    </w:p>
    <w:p>
      <w:r>
        <w:rPr>
          <w:rFonts w:ascii="等线(中文正文)" w:hAnsi="等线(中文正文)" w:cs="等线(中文正文)" w:eastAsia="等线(中文正文)"/>
          <w:b w:val="false"/>
          <w:i w:val="false"/>
          <w:sz w:val="20"/>
        </w:rPr>
        <w:t/>
      </w:r>
    </w:p>
    <w:p>
      <w:pPr>
        <w:pStyle w:val="ab"/>
      </w:pPr>
      <w:r>
        <w:t>相关上市公司在天然铀领域的投资和产量增长情况怎样？</w:t>
      </w:r>
    </w:p>
    <w:p>
      <w:r>
        <w:rPr>
          <w:rFonts w:ascii="等线(中文正文)" w:hAnsi="等线(中文正文)" w:cs="等线(中文正文)" w:eastAsia="等线(中文正文)"/>
          <w:b w:val="false"/>
          <w:i w:val="false"/>
          <w:sz w:val="20"/>
        </w:rPr>
        <w:t>发言人1：中国药业的ITO项目资金使用情况超过70%，预计2026年底投产，将为公司带来产量增长；中广核矿业每三年重新预定一次长协价格，2026年开始的新周期中，其长协价格高于现货，有望在之后几年释放业绩；A股公司万里石在今年三月首次涉足天然铀开采，通过收购中国药业子公司综合资源纳米比亚，未来将参与生物冶金方式下的相关生产活动并获取利润。</w:t>
      </w:r>
    </w:p>
    <w:p>
      <w:r>
        <w:rPr>
          <w:rFonts w:ascii="等线(中文正文)" w:hAnsi="等线(中文正文)" w:cs="等线(中文正文)" w:eastAsia="等线(中文正文)"/>
          <w:b w:val="false"/>
          <w:i w:val="false"/>
          <w:sz w:val="20"/>
        </w:rPr>
        <w:t/>
      </w:r>
    </w:p>
  </w:body>
</w:document>
</file>

<file path=word/numbering.xml><?xml version="1.0" encoding="utf-8"?>
<w:numbering xmlns:w="http://schemas.openxmlformats.org/wordprocessingml/2006/main">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abstractNum w:abstractNumId="0">
    <w:lvl w:ilvl="0">
      <w:start w:val="1"/>
      <w:numFmt w:val="bullet"/>
      <w:lvlText w:val="l"/>
      <w:lvlJc w:val="left"/>
      <w:pPr>
        <w:ind w:left="36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bering>
</file>

<file path=word/settings.xml><?xml version="1.0" encoding="utf-8"?>
<w:settings xmlns:w="http://schemas.openxmlformats.org/wordprocessingml/2006/main"/>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3139B0"/>
    <w:pPr>
      <w:widowControl w:val="0"/>
      <w:spacing w:line="360" w:lineRule="auto"/>
      <w:jc w:val="both"/>
    </w:pPr>
    <w:rPr>
      <w:color w:val="404040" w:themeColor="text1" w:themeTint="BF"/>
    </w:rPr>
  </w:style>
  <w:style w:type="paragraph" w:styleId="2">
    <w:name w:val="heading 2"/>
    <w:basedOn w:val="a0"/>
    <w:next w:val="a0"/>
    <w:link w:val="21"/>
    <w:uiPriority w:val="9"/>
    <w:unhideWhenUsed/>
    <w:qFormat/>
    <w:rsid w:val="006267B3"/>
    <w:pPr>
      <w:keepNext/>
      <w:keepLines/>
      <w:spacing w:before="260" w:after="260" w:line="416" w:lineRule="auto"/>
      <w:jc w:val="left"/>
      <w:outlineLvl w:val="1"/>
    </w:pPr>
    <w:rPr>
      <w:rFonts w:asciiTheme="majorHAnsi" w:hAnsiTheme="majorHAnsi" w:cstheme="majorBidi"/>
      <w:bCs/>
      <w:color w:val="27264D"/>
      <w:sz w:val="30"/>
      <w:szCs w:val="3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Title"/>
    <w:basedOn w:val="a0"/>
    <w:next w:val="a0"/>
    <w:link w:val="a5"/>
    <w:uiPriority w:val="10"/>
    <w:qFormat/>
    <w:rsid w:val="008E22A6"/>
    <w:pPr>
      <w:spacing w:before="240" w:after="60"/>
      <w:jc w:val="center"/>
      <w:outlineLvl w:val="0"/>
    </w:pPr>
    <w:rPr>
      <w:rFonts w:asciiTheme="majorHAnsi" w:eastAsiaTheme="majorEastAsia" w:hAnsiTheme="majorHAnsi" w:cstheme="majorBidi"/>
      <w:b/>
      <w:bCs/>
      <w:sz w:val="32"/>
      <w:szCs w:val="32"/>
    </w:rPr>
  </w:style>
  <w:style w:type="character" w:customStyle="1" w:styleId="a5">
    <w:name w:val="标题 字符"/>
    <w:basedOn w:val="a1"/>
    <w:link w:val="a4"/>
    <w:uiPriority w:val="10"/>
    <w:rsid w:val="008E22A6"/>
    <w:rPr>
      <w:rFonts w:asciiTheme="majorHAnsi" w:eastAsiaTheme="majorEastAsia" w:hAnsiTheme="majorHAnsi" w:cstheme="majorBidi"/>
      <w:b/>
      <w:bCs/>
      <w:sz w:val="32"/>
      <w:szCs w:val="32"/>
    </w:rPr>
  </w:style>
  <w:style w:type="character" w:customStyle="1" w:styleId="21">
    <w:name w:val="标题 2 字符"/>
    <w:basedOn w:val="a1"/>
    <w:link w:val="2"/>
    <w:uiPriority w:val="9"/>
    <w:rsid w:val="006267B3"/>
    <w:rPr>
      <w:rFonts w:asciiTheme="majorHAnsi" w:eastAsia="微软雅黑" w:hAnsiTheme="majorHAnsi" w:cstheme="majorBidi"/>
      <w:bCs/>
      <w:color w:val="27264D"/>
      <w:sz w:val="30"/>
      <w:szCs w:val="32"/>
    </w:rPr>
  </w:style>
  <w:style w:type="character" w:styleId="a6">
    <w:name w:val="Strong"/>
    <w:basedOn w:val="a1"/>
    <w:uiPriority w:val="22"/>
    <w:qFormat/>
    <w:rsid w:val="006267B3"/>
    <w:rPr>
      <w:rFonts w:eastAsia="微软雅黑"/>
      <w:b/>
      <w:bCs/>
      <w:i w:val="0"/>
      <w:color w:val="27264D"/>
    </w:rPr>
  </w:style>
  <w:style w:type="paragraph" w:customStyle="1" w:styleId="a7">
    <w:name w:val="一级标题"/>
    <w:basedOn w:val="a8"/>
    <w:autoRedefine/>
    <w:qFormat/>
    <w:rsid w:val="00511359"/>
    <w:pPr>
      <w:jc w:val="left"/>
    </w:pPr>
    <w:rPr>
      <w:bCs w:val="0"/>
      <w:color w:val="000000" w:themeColor="text1"/>
      <w:sz w:val="30"/>
    </w:rPr>
  </w:style>
  <w:style w:type="paragraph" w:styleId="a8">
    <w:name w:val="Subtitle"/>
    <w:basedOn w:val="a0"/>
    <w:next w:val="a0"/>
    <w:link w:val="a9"/>
    <w:uiPriority w:val="11"/>
    <w:qFormat/>
    <w:rsid w:val="006267B3"/>
    <w:pPr>
      <w:spacing w:before="240" w:after="60" w:line="312" w:lineRule="auto"/>
      <w:jc w:val="center"/>
      <w:outlineLvl w:val="1"/>
    </w:pPr>
    <w:rPr>
      <w:b/>
      <w:bCs/>
      <w:kern w:val="28"/>
      <w:sz w:val="32"/>
      <w:szCs w:val="32"/>
    </w:rPr>
  </w:style>
  <w:style w:type="character" w:customStyle="1" w:styleId="a9">
    <w:name w:val="副标题 字符"/>
    <w:basedOn w:val="a1"/>
    <w:link w:val="a8"/>
    <w:uiPriority w:val="11"/>
    <w:rsid w:val="006267B3"/>
    <w:rPr>
      <w:b/>
      <w:bCs/>
      <w:color w:val="474667"/>
      <w:kern w:val="28"/>
      <w:sz w:val="32"/>
      <w:szCs w:val="32"/>
    </w:rPr>
  </w:style>
  <w:style w:type="paragraph" w:customStyle="1" w:styleId="aa">
    <w:name w:val="标签"/>
    <w:basedOn w:val="ab"/>
    <w:qFormat/>
    <w:rsid w:val="00865510"/>
    <w:rPr>
      <w:szCs w:val="21"/>
    </w:rPr>
  </w:style>
  <w:style w:type="paragraph" w:customStyle="1" w:styleId="a">
    <w:name w:val="时间戳+章节"/>
    <w:basedOn w:val="a0"/>
    <w:qFormat/>
    <w:rsid w:val="00D86193"/>
    <w:pPr>
      <w:numPr>
        <w:numId w:val="17"/>
      </w:numPr>
    </w:pPr>
  </w:style>
  <w:style w:type="paragraph" w:customStyle="1" w:styleId="ac">
    <w:name w:val="大标题"/>
    <w:basedOn w:val="a4"/>
    <w:autoRedefine/>
    <w:qFormat/>
    <w:rsid w:val="00511359"/>
    <w:rPr>
      <w:rFonts w:asciiTheme="minorHAnsi" w:eastAsiaTheme="minorEastAsia" w:hAnsiTheme="minorHAnsi"/>
      <w:color w:val="000000" w:themeColor="text1"/>
      <w:sz w:val="36"/>
      <w:szCs w:val="36"/>
    </w:rPr>
  </w:style>
  <w:style w:type="paragraph" w:customStyle="1" w:styleId="ab">
    <w:name w:val="二级正文"/>
    <w:basedOn w:val="a0"/>
    <w:qFormat/>
    <w:rsid w:val="00F069C6"/>
    <w:rPr>
      <w:b/>
    </w:rPr>
  </w:style>
  <w:style w:type="numbering" w:customStyle="1" w:styleId="1">
    <w:name w:val="当前列表1"/>
    <w:uiPriority w:val="99"/>
    <w:rsid w:val="00C07DA3"/>
  </w:style>
  <w:style w:type="numbering" w:customStyle="1" w:styleId="22">
    <w:name w:val="当前列表2"/>
    <w:uiPriority w:val="99"/>
    <w:rsid w:val="00C07DA3"/>
  </w:style>
  <w:style w:type="numbering" w:customStyle="1" w:styleId="3">
    <w:name w:val="当前列表3"/>
    <w:uiPriority w:val="99"/>
    <w:rsid w:val="00C07DA3"/>
  </w:style>
  <w:style w:type="numbering" w:customStyle="1" w:styleId="4">
    <w:name w:val="当前列表4"/>
    <w:uiPriority w:val="99"/>
    <w:rsid w:val="00C07DA3"/>
  </w:style>
  <w:style w:type="numbering" w:customStyle="1" w:styleId="5">
    <w:name w:val="当前列表5"/>
    <w:uiPriority w:val="99"/>
    <w:rsid w:val="00C07DA3"/>
  </w:style>
  <w:style w:type="numbering" w:customStyle="1" w:styleId="6">
    <w:name w:val="当前列表6"/>
    <w:uiPriority w:val="99"/>
    <w:rsid w:val="00C07DA3"/>
  </w:style>
  <w:style w:type="numbering" w:customStyle="1" w:styleId="7">
    <w:name w:val="当前列表7"/>
    <w:uiPriority w:val="99"/>
    <w:rsid w:val="00C07DA3"/>
  </w:style>
  <w:style w:type="numbering" w:customStyle="1" w:styleId="8">
    <w:name w:val="当前列表8"/>
    <w:uiPriority w:val="99"/>
    <w:rsid w:val="00933C9B"/>
  </w:style>
  <w:style w:type="numbering" w:customStyle="1" w:styleId="9">
    <w:name w:val="当前列表9"/>
    <w:uiPriority w:val="99"/>
    <w:rsid w:val="00933C9B"/>
  </w:style>
  <w:style w:type="numbering" w:customStyle="1" w:styleId="10">
    <w:name w:val="当前列表10"/>
    <w:uiPriority w:val="99"/>
    <w:rsid w:val="00933C9B"/>
  </w:style>
  <w:style w:type="numbering" w:customStyle="1" w:styleId="11">
    <w:name w:val="当前列表11"/>
    <w:uiPriority w:val="99"/>
    <w:rsid w:val="00933C9B"/>
  </w:style>
  <w:style w:type="numbering" w:customStyle="1" w:styleId="12">
    <w:name w:val="当前列表12"/>
    <w:uiPriority w:val="99"/>
    <w:rsid w:val="00933C9B"/>
  </w:style>
  <w:style w:type="numbering" w:customStyle="1" w:styleId="13">
    <w:name w:val="当前列表13"/>
    <w:uiPriority w:val="99"/>
    <w:rsid w:val="00774E72"/>
  </w:style>
  <w:style w:type="numbering" w:customStyle="1" w:styleId="14">
    <w:name w:val="当前列表14"/>
    <w:uiPriority w:val="99"/>
    <w:rsid w:val="00774E72"/>
  </w:style>
  <w:style w:type="numbering" w:customStyle="1" w:styleId="15">
    <w:name w:val="当前列表15"/>
    <w:uiPriority w:val="99"/>
    <w:rsid w:val="00774E72"/>
  </w:style>
  <w:style w:type="numbering" w:customStyle="1" w:styleId="16">
    <w:name w:val="当前列表16"/>
    <w:uiPriority w:val="99"/>
    <w:rsid w:val="00774E72"/>
  </w:style>
  <w:style w:type="numbering" w:customStyle="1" w:styleId="17">
    <w:name w:val="当前列表17"/>
    <w:uiPriority w:val="99"/>
    <w:rsid w:val="00774E72"/>
  </w:style>
  <w:style w:type="numbering" w:customStyle="1" w:styleId="18">
    <w:name w:val="当前列表18"/>
    <w:uiPriority w:val="99"/>
    <w:rsid w:val="00774E72"/>
  </w:style>
  <w:style w:type="numbering" w:customStyle="1" w:styleId="19">
    <w:name w:val="当前列表19"/>
    <w:uiPriority w:val="99"/>
    <w:rsid w:val="00774E72"/>
  </w:style>
  <w:style w:type="numbering" w:customStyle="1" w:styleId="20">
    <w:name w:val="当前列表20"/>
    <w:uiPriority w:val="99"/>
    <w:rsid w:val="00865510"/>
    <w:pPr>
      <w:numPr>
        <w:numId w:val="44"/>
      </w:numPr>
    </w:pPr>
  </w:style>
</w:styles>
</file>

<file path=word/_rels/document.xml.rels><?xml version="1.0" encoding="UTF-8" standalone="yes"?><Relationships xmlns="http://schemas.openxmlformats.org/package/2006/relationships"><Relationship Id="rId1" Target="settings.xml" Type="http://schemas.openxmlformats.org/officeDocument/2006/relationships/settings"/><Relationship Id="rId2" Target="numbering.xml" Type="http://schemas.openxmlformats.org/officeDocument/2006/relationships/numbering"/><Relationship Id="rId3" Target="styles.xml" Type="http://schemas.openxmlformats.org/officeDocument/2006/relationships/styles"/></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2026-08-23T14:15:06Z</dcterms:created>
  <dc:creator>Apache POI</dc:creator>
</cp:coreProperties>
</file>