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东吴海外策略 - 交易重心重回美债，又是狼来了？ 260823_导读</w:t>
      </w:r>
    </w:p>
    <w:p>
      <w:pPr>
        <w:pStyle w:val="a0"/>
        <w:jc w:val="center"/>
      </w:pPr>
      <w:r>
        <w:t>2026年08月23日 22:06</w:t>
      </w:r>
    </w:p>
    <w:p>
      <w:pPr>
        <w:pStyle w:val="a7"/>
      </w:pPr>
      <w:r>
        <w:t>关键词</w:t>
      </w:r>
    </w:p>
    <w:p>
      <w:r>
        <w:rPr>
          <w:rFonts w:ascii="等线(中文正文)" w:hAnsi="等线(中文正文)" w:cs="等线(中文正文)" w:eastAsia="等线(中文正文)"/>
          <w:b w:val="false"/>
          <w:i w:val="false"/>
          <w:sz w:val="20"/>
        </w:rPr>
        <w:t xml:space="preserve">美债 美联储 通胀 长端利率 美股 全球市场 政策利率 AI 财政压力 PCE 回购 赤字 财报季 港股 宏观 交易 节奏 震荡 资金 风险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当前金融市场，尤其聚焦于美债市场与股市的动态，美联储政策与美债收益率变化成为关键讨论点，对美股及港股产生显著影响。美联储主席的表态及美债交易节奏被视作市场风向标，同时，AI技术进步与通胀压力也被认为是不可忽视的因素。市场正密切关注未来政策走向，特别是PCE数据，以预测经济走势。投资策略方面，强调需在高度波动的市场环境下，灵活调整资产配置，以应对宏观政策变动及关键数据发布的不确定性。整体而言，对话突显了宏观政策对金融市场的影响，以及投资者对关键数据和事件的高度敏感性。</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美债交易趋势与全球市场前瞻</w:t>
      </w:r>
    </w:p>
    <w:p>
      <w:r>
        <w:rPr>
          <w:rFonts w:ascii="等线(中文正文)" w:hAnsi="等线(中文正文)" w:cs="等线(中文正文)" w:eastAsia="等线(中文正文)"/>
          <w:b w:val="false"/>
          <w:i w:val="false"/>
          <w:sz w:val="20"/>
        </w:rPr>
        <w:t>会议聚焦美债交易节奏变化，探讨短期与中长期交易策略，关注美联储主席表态及全球市场动态，包括美股和港股观点更新。</w:t>
      </w:r>
    </w:p>
    <w:p>
      <w:r>
        <w:rPr>
          <w:rFonts w:ascii="等线(中文正文)" w:hAnsi="等线(中文正文)" w:cs="等线(中文正文)" w:eastAsia="等线(中文正文)"/>
          <w:b w:val="false"/>
          <w:i w:val="false"/>
          <w:sz w:val="20"/>
        </w:rPr>
        <w:t/>
      </w:r>
    </w:p>
    <w:p>
      <w:pPr>
        <w:pStyle w:val="ab"/>
        <w:numPr>
          <w:numId w:val="2"/>
        </w:numPr>
      </w:pPr>
      <w:r>
        <w:t>01:36 全球市场波动与联储政策展望</w:t>
      </w:r>
    </w:p>
    <w:p>
      <w:r>
        <w:rPr>
          <w:rFonts w:ascii="等线(中文正文)" w:hAnsi="等线(中文正文)" w:cs="等线(中文正文)" w:eastAsia="等线(中文正文)"/>
          <w:b w:val="false"/>
          <w:i w:val="false"/>
          <w:sz w:val="20"/>
        </w:rPr>
        <w:t>过去一周，新兴市场上涨1.2%，而发达市场下跌1.2%，美股三大股指均收跌，科技与公用事业领跌。联储会议纪要显示，尽管政策利率目标维持不变，但委员会内部分歧扩大，通胀仍为主要风险。纪要强调AI对宏观影响，可能推升需求与通胀，同时影响资产价格。未来政策会议可能缩减至6次，关注PCE、就业数据及Jackson Hole年会表态。</w:t>
      </w:r>
    </w:p>
    <w:p>
      <w:r>
        <w:rPr>
          <w:rFonts w:ascii="等线(中文正文)" w:hAnsi="等线(中文正文)" w:cs="等线(中文正文)" w:eastAsia="等线(中文正文)"/>
          <w:b w:val="false"/>
          <w:i w:val="false"/>
          <w:sz w:val="20"/>
        </w:rPr>
        <w:t/>
      </w:r>
    </w:p>
    <w:p>
      <w:pPr>
        <w:pStyle w:val="ab"/>
        <w:numPr>
          <w:numId w:val="3"/>
        </w:numPr>
      </w:pPr>
      <w:r>
        <w:t>05:11 美债长端利率飙升及其对美股的影响</w:t>
      </w:r>
    </w:p>
    <w:p>
      <w:r>
        <w:rPr>
          <w:rFonts w:ascii="等线(中文正文)" w:hAnsi="等线(中文正文)" w:cs="等线(中文正文)" w:eastAsia="等线(中文正文)"/>
          <w:b w:val="false"/>
          <w:i w:val="false"/>
          <w:sz w:val="20"/>
        </w:rPr>
        <w:t>对话讨论了过去一周全球市场的重要事件，即长端美债利率的快速上行，尤其是30年期美债利率创07年新高。分析指出，这一现象由通胀预期、财政风险溢价及长久期资产供需压力共同推动。尽管美国财政部宣布回购美债以抑制利率，但效果有限。长端利率的上行对美股，特别是科技股，产生了明显压制。展望未来，Jackson后年会的政策信号将影响市场预期，可能带来美债利率的边际回落及美股的短线反弹。建议投资者关注跨板块分散配置，以应对债市动荡。</w:t>
      </w:r>
    </w:p>
    <w:p>
      <w:r>
        <w:rPr>
          <w:rFonts w:ascii="等线(中文正文)" w:hAnsi="等线(中文正文)" w:cs="等线(中文正文)" w:eastAsia="等线(中文正文)"/>
          <w:b w:val="false"/>
          <w:i w:val="false"/>
          <w:sz w:val="20"/>
        </w:rPr>
        <w:t/>
      </w:r>
    </w:p>
    <w:p>
      <w:pPr>
        <w:pStyle w:val="ab"/>
        <w:numPr>
          <w:numId w:val="4"/>
        </w:numPr>
      </w:pPr>
      <w:r>
        <w:t>11:31 美债定价与市场波动分析</w:t>
      </w:r>
    </w:p>
    <w:p>
      <w:r>
        <w:rPr>
          <w:rFonts w:ascii="等线(中文正文)" w:hAnsi="等线(中文正文)" w:cs="等线(中文正文)" w:eastAsia="等线(中文正文)"/>
          <w:b w:val="false"/>
          <w:i w:val="false"/>
          <w:sz w:val="20"/>
        </w:rPr>
        <w:t>对话深入探讨了美债定价在市场波动中的角色，尤其是在财报季结束后宏观因素影响加剧的背景下。分析指出，美债的定价波动虽引人关注，但不会短期内导致市场大幅下跌，市场更应将其视为交易叙事的一部分。中长期看，市场的交易不一致性和对宏观信号的非共识分析能力，有助于避免未来大幅去杠杆的风险，从而稳定市场情绪。</w:t>
      </w:r>
    </w:p>
    <w:p>
      <w:r>
        <w:rPr>
          <w:rFonts w:ascii="等线(中文正文)" w:hAnsi="等线(中文正文)" w:cs="等线(中文正文)" w:eastAsia="等线(中文正文)"/>
          <w:b w:val="false"/>
          <w:i w:val="false"/>
          <w:sz w:val="20"/>
        </w:rPr>
        <w:t/>
      </w:r>
    </w:p>
    <w:p>
      <w:pPr>
        <w:pStyle w:val="ab"/>
        <w:numPr>
          <w:numId w:val="5"/>
        </w:numPr>
      </w:pPr>
      <w:r>
        <w:t>16:19 美债波动与市场交易节奏分析</w:t>
      </w:r>
    </w:p>
    <w:p>
      <w:r>
        <w:rPr>
          <w:rFonts w:ascii="等线(中文正文)" w:hAnsi="等线(中文正文)" w:cs="等线(中文正文)" w:eastAsia="等线(中文正文)"/>
          <w:b w:val="false"/>
          <w:i w:val="false"/>
          <w:sz w:val="20"/>
        </w:rPr>
        <w:t>对话深入探讨了市场交易节奏如何跟随美债波动，特别是在八月下旬至九月期间，市场需谨慎对待宏观信号变化，如加息预期、通胀、美债拍卖及财政政策等。虽然市场可能缺乏超预期好消息，但企业基本面稳固，经济未见困境，故市场大幅下跌风险较低。然而，宏观扰动将影响持股体验与交易节奏，建议保持健身态度，注重基本面，同时灵活调整交易策略以应对市场波动。</w:t>
      </w:r>
    </w:p>
    <w:p>
      <w:r>
        <w:rPr>
          <w:rFonts w:ascii="等线(中文正文)" w:hAnsi="等线(中文正文)" w:cs="等线(中文正文)" w:eastAsia="等线(中文正文)"/>
          <w:b w:val="false"/>
          <w:i w:val="false"/>
          <w:sz w:val="20"/>
        </w:rPr>
        <w:t/>
      </w:r>
    </w:p>
    <w:p>
      <w:pPr>
        <w:pStyle w:val="ab"/>
        <w:numPr>
          <w:numId w:val="6"/>
        </w:numPr>
      </w:pPr>
      <w:r>
        <w:t>19:07 美债趋势与港股震荡整固分析</w:t>
      </w:r>
    </w:p>
    <w:p>
      <w:r>
        <w:rPr>
          <w:rFonts w:ascii="等线(中文正文)" w:hAnsi="等线(中文正文)" w:cs="等线(中文正文)" w:eastAsia="等线(中文正文)"/>
          <w:b w:val="false"/>
          <w:i w:val="false"/>
          <w:sz w:val="20"/>
        </w:rPr>
        <w:t>讨论了美债中长期趋势的稳定性，但提醒8月至9月期间需关注短期波动风险。港股在美债问题共识下表现坚韧，预计短期将维持震荡整固状态，建议持有相对红利底仓并关注全球竞争力企业的绝对收益品种。</w:t>
      </w:r>
    </w:p>
    <w:p>
      <w:r>
        <w:rPr>
          <w:rFonts w:ascii="等线(中文正文)" w:hAnsi="等线(中文正文)" w:cs="等线(中文正文)" w:eastAsia="等线(中文正文)"/>
          <w:b w:val="false"/>
          <w:i w:val="false"/>
          <w:sz w:val="20"/>
        </w:rPr>
        <w:t/>
      </w:r>
    </w:p>
    <w:p>
      <w:pPr>
        <w:pStyle w:val="ab"/>
        <w:numPr>
          <w:numId w:val="7"/>
        </w:numPr>
      </w:pPr>
      <w:r>
        <w:t>27:23 宏观扰动与市场反弹潜能分析</w:t>
      </w:r>
    </w:p>
    <w:p>
      <w:r>
        <w:rPr>
          <w:rFonts w:ascii="等线(中文正文)" w:hAnsi="等线(中文正文)" w:cs="等线(中文正文)" w:eastAsia="等线(中文正文)"/>
          <w:b w:val="false"/>
          <w:i w:val="false"/>
          <w:sz w:val="20"/>
        </w:rPr>
        <w:t>讨论了宏观节奏对市场的影响，强调了创新药和AI中下游领域在资金流与市场叙事中的关注价值。指出八月下旬至九月宏观扰动需重视，市场可能面临结构性轮动，呼吁观察市场能否讲出新故事。港股中下游，尤其是原厂商，被视为中长期投资的优先方向。</w:t>
      </w:r>
    </w:p>
    <w:p>
      <w:r>
        <w:rPr>
          <w:rFonts w:ascii="等线(中文正文)" w:hAnsi="等线(中文正文)" w:cs="等线(中文正文)" w:eastAsia="等线(中文正文)"/>
          <w:b w:val="false"/>
          <w:i w:val="false"/>
          <w:sz w:val="20"/>
        </w:rPr>
        <w:t/>
      </w:r>
    </w:p>
    <w:p>
      <w:pPr>
        <w:pStyle w:val="a7"/>
      </w:pPr>
      <w:r>
        <w:t>发言总结</w:t>
      </w:r>
    </w:p>
    <w:p>
      <w:pPr>
        <w:pStyle w:val="ab"/>
        <w:numPr>
          <w:numId w:val="8"/>
        </w:numPr>
      </w:pPr>
      <w:r>
        <w:t>发言人1</w:t>
      </w:r>
    </w:p>
    <w:p>
      <w:r>
        <w:rPr>
          <w:rFonts w:ascii="等线(中文正文)" w:hAnsi="等线(中文正文)" w:cs="等线(中文正文)" w:eastAsia="等线(中文正文)"/>
          <w:b w:val="false"/>
          <w:i w:val="false"/>
          <w:sz w:val="20"/>
        </w:rPr>
        <w:t>他讨论了美债交易的当前趋势和未来可能的影响因素。他首先指出了市场在交易层面上的新趋势，特别是对美债交易节奏的关注。随后，他提到了美联储主席在詹姆斯和会议的表态，以及全球市场的表现，尤其是新兴市场和发达市场的差异，强调了这些因素对市场的重要影响。他还分析了联储会议纪要、长端利率快速上行的原因，以及AI技术对企业和市场的影响。他特别强调了在八月底的Jackson Hole年会前，市场预期和美债拍卖、财政政策等关键事件将如何影响市场波动。整体上，他的发言围绕美债交易的长期趋势、当前市场的关注点，以及未来几个月可能影响市场的关键事件展开。</w:t>
      </w:r>
    </w:p>
    <w:p>
      <w:r>
        <w:rPr>
          <w:rFonts w:ascii="等线(中文正文)" w:hAnsi="等线(中文正文)" w:cs="等线(中文正文)" w:eastAsia="等线(中文正文)"/>
          <w:b w:val="false"/>
          <w:i w:val="false"/>
          <w:sz w:val="20"/>
        </w:rPr>
        <w:t/>
      </w:r>
    </w:p>
    <w:p>
      <w:pPr>
        <w:pStyle w:val="a7"/>
      </w:pPr>
      <w:r>
        <w:t>要点回顾</w:t>
      </w:r>
    </w:p>
    <w:p>
      <w:pPr>
        <w:pStyle w:val="ab"/>
      </w:pPr>
      <w:r>
        <w:t>今天我们电话会主要想讨论什么问题？接下来将如何安排分享内容？</w:t>
      </w:r>
    </w:p>
    <w:p>
      <w:r>
        <w:rPr>
          <w:rFonts w:ascii="等线(中文正文)" w:hAnsi="等线(中文正文)" w:cs="等线(中文正文)" w:eastAsia="等线(中文正文)"/>
          <w:b w:val="false"/>
          <w:i w:val="false"/>
          <w:sz w:val="20"/>
        </w:rPr>
        <w:t>发言人1：我们今天主要想讨论的是最近备受关注的比赛相关问题，特别是从长期视角下交易美债的节奏和趋势，并分析回转所需的信号。此外，月底美联储主席杰鲍伦伯格在杰克逊霍尔会议上的表态也将是重要议题，我们将前瞻其会议内容对美债市场的影响。葛老师将首先介绍海外数据，然后我会分享一些关于美债交易的变量以及短期和中长期维度上交易美债的关键观察点。最后，我会更新全球市场、美股和港股的一些观点。</w:t>
      </w:r>
    </w:p>
    <w:p>
      <w:r>
        <w:rPr>
          <w:rFonts w:ascii="等线(中文正文)" w:hAnsi="等线(中文正文)" w:cs="等线(中文正文)" w:eastAsia="等线(中文正文)"/>
          <w:b w:val="false"/>
          <w:i w:val="false"/>
          <w:sz w:val="20"/>
        </w:rPr>
        <w:t/>
      </w:r>
    </w:p>
    <w:p>
      <w:pPr>
        <w:pStyle w:val="ab"/>
      </w:pPr>
      <w:r>
        <w:t>过去一周全球市场表现如何？过去一周影响全球市场的另一个重要事件是什么？</w:t>
      </w:r>
    </w:p>
    <w:p>
      <w:r>
        <w:rPr>
          <w:rFonts w:ascii="等线(中文正文)" w:hAnsi="等线(中文正文)" w:cs="等线(中文正文)" w:eastAsia="等线(中文正文)"/>
          <w:b w:val="false"/>
          <w:i w:val="false"/>
          <w:sz w:val="20"/>
        </w:rPr>
        <w:t>发言人1：过去一周，新兴市场整体上涨1.2%，而发达市场下跌1.2%。其中，纳斯达克综合指数跌幅较大，达到2%，标准普尔500指数下跌1.4%，道琼斯工业平均指数则下跌0.8%。过去一周，长端美债利率（特别是30年期美债）快速上行至5.3%，创下了07年以来的新高，同时十年期美债利率也在走高。这并非由单一货币政策预期或行动引起，而是通胀预期、财政风险溢价和长久期资产供需压力共同作用的结果。</w:t>
      </w:r>
    </w:p>
    <w:p>
      <w:r>
        <w:rPr>
          <w:rFonts w:ascii="等线(中文正文)" w:hAnsi="等线(中文正文)" w:cs="等线(中文正文)" w:eastAsia="等线(中文正文)"/>
          <w:b w:val="false"/>
          <w:i w:val="false"/>
          <w:sz w:val="20"/>
        </w:rPr>
        <w:t/>
      </w:r>
    </w:p>
    <w:p>
      <w:pPr>
        <w:pStyle w:val="ab"/>
      </w:pPr>
      <w:r>
        <w:t>上周美股行情的主要驱动因素是什么？</w:t>
      </w:r>
    </w:p>
    <w:p>
      <w:r>
        <w:rPr>
          <w:rFonts w:ascii="等线(中文正文)" w:hAnsi="等线(中文正文)" w:cs="等线(中文正文)" w:eastAsia="等线(中文正文)"/>
          <w:b w:val="false"/>
          <w:i w:val="false"/>
          <w:sz w:val="20"/>
        </w:rPr>
        <w:t>发言人1：上周主导美股行情的主要因素是长端利率的快速上行。</w:t>
      </w:r>
    </w:p>
    <w:p>
      <w:r>
        <w:rPr>
          <w:rFonts w:ascii="等线(中文正文)" w:hAnsi="等线(中文正文)" w:cs="等线(中文正文)" w:eastAsia="等线(中文正文)"/>
          <w:b w:val="false"/>
          <w:i w:val="false"/>
          <w:sz w:val="20"/>
        </w:rPr>
        <w:t/>
      </w:r>
    </w:p>
    <w:p>
      <w:pPr>
        <w:pStyle w:val="ab"/>
      </w:pPr>
      <w:r>
        <w:t>关于美国联邦储备系统的会议纪要有哪些关键内容？</w:t>
      </w:r>
    </w:p>
    <w:p>
      <w:r>
        <w:rPr>
          <w:rFonts w:ascii="等线(中文正文)" w:hAnsi="等线(中文正文)" w:cs="等线(中文正文)" w:eastAsia="等线(中文正文)"/>
          <w:b w:val="false"/>
          <w:i w:val="false"/>
          <w:sz w:val="20"/>
        </w:rPr>
        <w:t>发言人1：会议纪要显示，联储基调仍偏鹰派，七月份政策利率目标维持不变，但内部投票结果显示分歧扩大。同时，联储继续将通胀视为主要风险，并提到AI相关资本开支可能推升总需求和通胀，但估值下修也可能导致资产价格重估和金融条件收紧。</w:t>
      </w:r>
    </w:p>
    <w:p>
      <w:r>
        <w:rPr>
          <w:rFonts w:ascii="等线(中文正文)" w:hAnsi="等线(中文正文)" w:cs="等线(中文正文)" w:eastAsia="等线(中文正文)"/>
          <w:b w:val="false"/>
          <w:i w:val="false"/>
          <w:sz w:val="20"/>
        </w:rPr>
        <w:t/>
      </w:r>
    </w:p>
    <w:p>
      <w:pPr>
        <w:pStyle w:val="ab"/>
      </w:pPr>
      <w:r>
        <w:t>市场对于九月加息的预期有何变化？</w:t>
      </w:r>
    </w:p>
    <w:p>
      <w:r>
        <w:rPr>
          <w:rFonts w:ascii="等线(中文正文)" w:hAnsi="等线(中文正文)" w:cs="等线(中文正文)" w:eastAsia="等线(中文正文)"/>
          <w:b w:val="false"/>
          <w:i w:val="false"/>
          <w:sz w:val="20"/>
        </w:rPr>
        <w:t>发言人1：由于近期通胀和就业数据下行，市场对于九月加息的预期相较于七月明显降温，接下来的关键关注点包括PCE就业数据以及月底Jackson霍尔年会上的表态。</w:t>
      </w:r>
    </w:p>
    <w:p>
      <w:r>
        <w:rPr>
          <w:rFonts w:ascii="等线(中文正文)" w:hAnsi="等线(中文正文)" w:cs="等线(中文正文)" w:eastAsia="等线(中文正文)"/>
          <w:b w:val="false"/>
          <w:i w:val="false"/>
          <w:sz w:val="20"/>
        </w:rPr>
        <w:t/>
      </w:r>
    </w:p>
    <w:p>
      <w:pPr>
        <w:pStyle w:val="ab"/>
      </w:pPr>
      <w:r>
        <w:t>贝森特回购美债对市场的影响如何？</w:t>
      </w:r>
    </w:p>
    <w:p>
      <w:r>
        <w:rPr>
          <w:rFonts w:ascii="等线(中文正文)" w:hAnsi="等线(中文正文)" w:cs="等线(中文正文)" w:eastAsia="等线(中文正文)"/>
          <w:b w:val="false"/>
          <w:i w:val="false"/>
          <w:sz w:val="20"/>
        </w:rPr>
        <w:t>发言人1：尽管贝森特宣布翻倍回购美债规模，但相对于季度发行总量而言，其回购作用有限，只能暂时抑制长端美债利率的上升，中长期来看，由于财政赤字问题未得到解决，长端美债利率仍可能保持易上难下的态势。短期之内，回购可能有助于边际回落美债利率，但对于美股尤其是科技股的压制效应仍然明显。</w:t>
      </w:r>
    </w:p>
    <w:p>
      <w:r>
        <w:rPr>
          <w:rFonts w:ascii="等线(中文正文)" w:hAnsi="等线(中文正文)" w:cs="等线(中文正文)" w:eastAsia="等线(中文正文)"/>
          <w:b w:val="false"/>
          <w:i w:val="false"/>
          <w:sz w:val="20"/>
        </w:rPr>
        <w:t/>
      </w:r>
    </w:p>
    <w:p>
      <w:pPr>
        <w:pStyle w:val="ab"/>
      </w:pPr>
      <w:r>
        <w:t>Jackson年会后，市场对于美联储政策反应函数的理解有何变化，以及对长端美债利率和美股的影响是什么？对于即将召开的会议（指Jackson年会），市场有何预期？</w:t>
      </w:r>
    </w:p>
    <w:p>
      <w:r>
        <w:rPr>
          <w:rFonts w:ascii="等线(中文正文)" w:hAnsi="等线(中文正文)" w:cs="等线(中文正文)" w:eastAsia="等线(中文正文)"/>
          <w:b w:val="false"/>
          <w:i w:val="false"/>
          <w:sz w:val="20"/>
        </w:rPr>
        <w:t>发言人1：Jackson年会虽不改变政策利率，但会改变市场对美联储反应函数的理解。当前长端利率较高，市场担忧的焦点在于美联储未能给出清晰的利率波动信号。若年会能稳定市场预期，特别是对后续利率路径有所判断或框架更明朗，有望短期降低长端美债利率，并可能促使美股因美债利率边际回落而出现反短线反弹。前提是市场相信在通胀可控情况下政策将进行缓和而非因经济走弱而转向。市场对会议有一定预期，但不期待有超出常规的表态。会议可能难以给出市场想要听到的具体数据或新的政策思路，其框架表现出变相拖延策略，这使得市场短期内难以快速适应和形成共识。</w:t>
      </w:r>
    </w:p>
    <w:p>
      <w:r>
        <w:rPr>
          <w:rFonts w:ascii="等线(中文正文)" w:hAnsi="等线(中文正文)" w:cs="等线(中文正文)" w:eastAsia="等线(中文正文)"/>
          <w:b w:val="false"/>
          <w:i w:val="false"/>
          <w:sz w:val="20"/>
        </w:rPr>
        <w:t/>
      </w:r>
    </w:p>
    <w:p>
      <w:pPr>
        <w:pStyle w:val="ab"/>
      </w:pPr>
      <w:r>
        <w:t>债市动荡是否意味着对美股的看空，以及如何配置股票以保持平衡？</w:t>
      </w:r>
    </w:p>
    <w:p>
      <w:r>
        <w:rPr>
          <w:rFonts w:ascii="等线(中文正文)" w:hAnsi="等线(中文正文)" w:cs="等线(中文正文)" w:eastAsia="等线(中文正文)"/>
          <w:b w:val="false"/>
          <w:i w:val="false"/>
          <w:sz w:val="20"/>
        </w:rPr>
        <w:t>发言人1：债市动荡不一定是看空美股的理由，反而强化了跨板块、跨地区分散配置股票的重要性。建议在保持对AI板块关注的同时，适当关注工业、金融和可选消费等顺周期板块以求平衡。</w:t>
      </w:r>
    </w:p>
    <w:p>
      <w:r>
        <w:rPr>
          <w:rFonts w:ascii="等线(中文正文)" w:hAnsi="等线(中文正文)" w:cs="等线(中文正文)" w:eastAsia="等线(中文正文)"/>
          <w:b w:val="false"/>
          <w:i w:val="false"/>
          <w:sz w:val="20"/>
        </w:rPr>
        <w:t/>
      </w:r>
    </w:p>
    <w:p>
      <w:pPr>
        <w:pStyle w:val="ab"/>
      </w:pPr>
      <w:r>
        <w:t>美债定价何时会成为市场关注焦点，以及其对未来市场走势的影响如何？</w:t>
      </w:r>
    </w:p>
    <w:p>
      <w:r>
        <w:rPr>
          <w:rFonts w:ascii="等线(中文正文)" w:hAnsi="等线(中文正文)" w:cs="等线(中文正文)" w:eastAsia="等线(中文正文)"/>
          <w:b w:val="false"/>
          <w:i w:val="false"/>
          <w:sz w:val="20"/>
        </w:rPr>
        <w:t>发言人1：市场定价从财报业绩视角转向宏观层面的定价，预计从八月中下旬开始至四季度，宏观层面波动将不断扰动市场节奏。现阶段美债定价更多是叙事层面的担忧，而非实质性引爆点。因此，现阶段对美债的顾虑应视为交易叙事中的一个阶段，不必过度担忧短期内大幅下跌的风险。</w:t>
      </w:r>
    </w:p>
    <w:p>
      <w:r>
        <w:rPr>
          <w:rFonts w:ascii="等线(中文正文)" w:hAnsi="等线(中文正文)" w:cs="等线(中文正文)" w:eastAsia="等线(中文正文)"/>
          <w:b w:val="false"/>
          <w:i w:val="false"/>
          <w:sz w:val="20"/>
        </w:rPr>
        <w:t/>
      </w:r>
    </w:p>
    <w:p>
      <w:pPr>
        <w:pStyle w:val="ab"/>
      </w:pPr>
      <w:r>
        <w:t>在美债波动影响下，从市场交易节奏上如何跟随其波动，特别是在八月到九月期间？</w:t>
      </w:r>
    </w:p>
    <w:p>
      <w:r>
        <w:rPr>
          <w:rFonts w:ascii="等线(中文正文)" w:hAnsi="等线(中文正文)" w:cs="等线(中文正文)" w:eastAsia="等线(中文正文)"/>
          <w:b w:val="false"/>
          <w:i w:val="false"/>
          <w:sz w:val="20"/>
        </w:rPr>
        <w:t>发言人1：在接下来的八月中下旬至9月份，应高度重视宏观信号的变化，交易重心转移后，年内加息预期下降可能导致对通胀问题再度顾虑，同时需关注美债拍卖、财政政策表态及可用工具箱等问题。这一阶段宏观层面的定价将持续扰动市场，股市收益相关的方向应偏向震荡。</w:t>
      </w:r>
    </w:p>
    <w:p>
      <w:r>
        <w:rPr>
          <w:rFonts w:ascii="等线(中文正文)" w:hAnsi="等线(中文正文)" w:cs="等线(中文正文)" w:eastAsia="等线(中文正文)"/>
          <w:b w:val="false"/>
          <w:i w:val="false"/>
          <w:sz w:val="20"/>
        </w:rPr>
        <w:t/>
      </w:r>
    </w:p>
    <w:p>
      <w:pPr>
        <w:pStyle w:val="ab"/>
      </w:pPr>
      <w:r>
        <w:t>从中长期维度看，市场对宏观信号和数据的分析能力有何变化，以及对未来市场的担忧程度？</w:t>
      </w:r>
    </w:p>
    <w:p>
      <w:r>
        <w:rPr>
          <w:rFonts w:ascii="等线(中文正文)" w:hAnsi="等线(中文正文)" w:cs="等线(中文正文)" w:eastAsia="等线(中文正文)"/>
          <w:b w:val="false"/>
          <w:i w:val="false"/>
          <w:sz w:val="20"/>
        </w:rPr>
        <w:t>发言人1：从中长期角度看，市场的交易逐渐趋于不一致，对宏观信号和数据的分析能力具有非共识性，这反而是好事，因为过去高度共识导致的高度杠杆在接下来的时间节点里不易形成大幅去杠杆行情。</w:t>
      </w:r>
    </w:p>
    <w:p>
      <w:r>
        <w:rPr>
          <w:rFonts w:ascii="等线(中文正文)" w:hAnsi="等线(中文正文)" w:cs="等线(中文正文)" w:eastAsia="等线(中文正文)"/>
          <w:b w:val="false"/>
          <w:i w:val="false"/>
          <w:sz w:val="20"/>
        </w:rPr>
        <w:t/>
      </w:r>
    </w:p>
    <w:p>
      <w:pPr>
        <w:pStyle w:val="ab"/>
      </w:pPr>
      <w:r>
        <w:t>对于美股以外的中国市场和全球市场的整体节奏，尤其是AI产业链相关资产的影响如何看待？</w:t>
      </w:r>
    </w:p>
    <w:p>
      <w:r>
        <w:rPr>
          <w:rFonts w:ascii="等线(中文正文)" w:hAnsi="等线(中文正文)" w:cs="等线(中文正文)" w:eastAsia="等线(中文正文)"/>
          <w:b w:val="false"/>
          <w:i w:val="false"/>
          <w:sz w:val="20"/>
        </w:rPr>
        <w:t>发言人1：尽管缺乏超预期的好消息，但企业基本面和盈利层面尚未形成悲观预期。随着财报季的关注度提高，若企业能讲出新的故事，且经济暂时未出现困境，市场大幅下跌的风险相对较小。不过，宏观扰动可能导致持股体验和交易节奏被动，需把握交易和叙事节奏的变化态度。</w:t>
      </w:r>
    </w:p>
    <w:p>
      <w:r>
        <w:rPr>
          <w:rFonts w:ascii="等线(中文正文)" w:hAnsi="等线(中文正文)" w:cs="等线(中文正文)" w:eastAsia="等线(中文正文)"/>
          <w:b w:val="false"/>
          <w:i w:val="false"/>
          <w:sz w:val="20"/>
        </w:rPr>
        <w:t/>
      </w:r>
    </w:p>
    <w:p>
      <w:pPr>
        <w:pStyle w:val="ab"/>
      </w:pPr>
      <w:r>
        <w:t>对于美债对股市的影响，您认为现阶段有哪些需要关注的风险点？您对港股走势有何看法？</w:t>
      </w:r>
    </w:p>
    <w:p>
      <w:r>
        <w:rPr>
          <w:rFonts w:ascii="等线(中文正文)" w:hAnsi="等线(中文正文)" w:cs="等线(中文正文)" w:eastAsia="等线(中文正文)"/>
          <w:b w:val="false"/>
          <w:i w:val="false"/>
          <w:sz w:val="20"/>
        </w:rPr>
        <w:t>发言人1：现阶段我们不担心美债中长期趋势会引爆，但主要顾虑在于股票交易的中心和趋势节奏上。在八月下到9月这个区间里，需要高度重视市场波动和趋势的持续性。此外，整个四季度宏观层面的交易依然值得高度关注，因为宏观变量仍然存在，尤其是对于明年通胀预期的变化可能会影响市场节奏。我对于港股接下来的走势维持震荡整固的观点。首先，海外风险因素较多，尤其是美债收益率上升对港股有传导作用，但港股的反应可能相对滞后，不像美股那样迅速。其次，国内资金对于港股配置尚未形成共识，增量资金也未出现明显的大幅流入，更多是在观察AI、硬科技等板块的反弹节奏。国内基本面短期内没有新的变化或共识，建议关注非科技类交易。</w:t>
      </w:r>
    </w:p>
    <w:p>
      <w:r>
        <w:rPr>
          <w:rFonts w:ascii="等线(中文正文)" w:hAnsi="等线(中文正文)" w:cs="等线(中文正文)" w:eastAsia="等线(中文正文)"/>
          <w:b w:val="false"/>
          <w:i w:val="false"/>
          <w:sz w:val="20"/>
        </w:rPr>
        <w:t/>
      </w:r>
    </w:p>
    <w:p>
      <w:pPr>
        <w:pStyle w:val="ab"/>
      </w:pPr>
      <w:r>
        <w:t>在全球资金切换及海外市场风险的影响下，港股将如何表现？</w:t>
      </w:r>
    </w:p>
    <w:p>
      <w:r>
        <w:rPr>
          <w:rFonts w:ascii="等线(中文正文)" w:hAnsi="等线(中文正文)" w:cs="等线(中文正文)" w:eastAsia="等线(中文正文)"/>
          <w:b w:val="false"/>
          <w:i w:val="false"/>
          <w:sz w:val="20"/>
        </w:rPr>
        <w:t>发言人1：在当前时间节点，无论是内资还是外资，很难快速切换主线，港股可能会维持现状并受到海外市场的一定影响。如果海外市场的反弹节奏形成共振效应，港股会有所表现，但不会是明显的跷跷板式走势。预计短期港股不会有大幅回调风险，整体上以震荡整固为主。</w:t>
      </w:r>
    </w:p>
    <w:p>
      <w:r>
        <w:rPr>
          <w:rFonts w:ascii="等线(中文正文)" w:hAnsi="等线(中文正文)" w:cs="等线(中文正文)" w:eastAsia="等线(中文正文)"/>
          <w:b w:val="false"/>
          <w:i w:val="false"/>
          <w:sz w:val="20"/>
        </w:rPr>
        <w:t/>
      </w:r>
    </w:p>
    <w:p>
      <w:pPr>
        <w:pStyle w:val="ab"/>
      </w:pPr>
      <w:r>
        <w:t>对于当前港股投资策略有何具体建议？</w:t>
      </w:r>
    </w:p>
    <w:p>
      <w:r>
        <w:rPr>
          <w:rFonts w:ascii="等线(中文正文)" w:hAnsi="等线(中文正文)" w:cs="等线(中文正文)" w:eastAsia="等线(中文正文)"/>
          <w:b w:val="false"/>
          <w:i w:val="false"/>
          <w:sz w:val="20"/>
        </w:rPr>
        <w:t>发言人1：首先，持续持有相对红利等底仓；其次，追求绝对收益品种，可选择与AI主线关系不那么强烈但具备全球竞争力的企业；再次，关注资金流向，如创新药等有共识的领域；最后，从长期角度看，可以关注AI中下游及硬件层面的原厂商，这些方向具备一定的中长期关注价值和反弹潜能。</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2026-08-23T14:15:06Z</dcterms:created>
  <dc:creator>Apache POI</dc:creator>
</cp:coreProperties>
</file>