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东吴策略-当科技缩圈碰上海外高波 260823_导读</w:t>
      </w:r>
    </w:p>
    <w:p>
      <w:pPr>
        <w:pStyle w:val="a0"/>
        <w:jc w:val="center"/>
      </w:pPr>
      <w:r>
        <w:t>2026年08月23日 22:06</w:t>
      </w:r>
    </w:p>
    <w:p>
      <w:pPr>
        <w:pStyle w:val="a7"/>
      </w:pPr>
      <w:r>
        <w:t>关键词</w:t>
      </w:r>
    </w:p>
    <w:p>
      <w:r>
        <w:rPr>
          <w:rFonts w:ascii="等线(中文正文)" w:hAnsi="等线(中文正文)" w:cs="等线(中文正文)" w:eastAsia="等线(中文正文)"/>
          <w:b w:val="false"/>
          <w:i w:val="false"/>
          <w:sz w:val="20"/>
        </w:rPr>
        <w:t xml:space="preserve">美债 收益率 债务风险 美股 A股 港股 贵金属 比特币 原油 权益 通胀 滞胀 财政扩张 资本开支 科技行业 国产替代 流动性 高估值 硬核科技 中期选举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当前市场面临美债收益率上升带来的挑战，这促使投资者重新评估高估值资产，尤其是对科技股构成影响。尽管短期内市场可能因美债波动承受压力，但从中长期视角看，科技板块仍具增长潜力，特别是国产替代和技术升级相关领域。建议关注产能释放和订单落地的硬核科技标的，以应对市场波动。此外，中期选举也被认为对市场有潜在影响，提供了一个调整投资组合、实现对冲的时机。总体而言，尽管存在挑战，科技领域未来仍蕴藏发展机遇。</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科技与市场：应对海外高估的策略探讨</w:t>
      </w:r>
    </w:p>
    <w:p>
      <w:r>
        <w:rPr>
          <w:rFonts w:ascii="等线(中文正文)" w:hAnsi="等线(中文正文)" w:cs="等线(中文正文)" w:eastAsia="等线(中文正文)"/>
          <w:b w:val="false"/>
          <w:i w:val="false"/>
          <w:sz w:val="20"/>
        </w:rPr>
        <w:t>讨论了市场在面对海外高估情况下的应对策略，指出权益板块、贵金属、比特币及原油等资产的走势与美债收益率上行密切相关。分析了财政担忧、供需错配及政策不确定性对市场的影响，强调了非主权资产作为对冲美国信用风险的趋势。</w:t>
      </w:r>
    </w:p>
    <w:p>
      <w:r>
        <w:rPr>
          <w:rFonts w:ascii="等线(中文正文)" w:hAnsi="等线(中文正文)" w:cs="等线(中文正文)" w:eastAsia="等线(中文正文)"/>
          <w:b w:val="false"/>
          <w:i w:val="false"/>
          <w:sz w:val="20"/>
        </w:rPr>
        <w:t/>
      </w:r>
    </w:p>
    <w:p>
      <w:pPr>
        <w:pStyle w:val="ab"/>
        <w:numPr>
          <w:numId w:val="2"/>
        </w:numPr>
      </w:pPr>
      <w:r>
        <w:t>02:36 美国债务风险激化：高利率下的市场波动</w:t>
      </w:r>
    </w:p>
    <w:p>
      <w:r>
        <w:rPr>
          <w:rFonts w:ascii="等线(中文正文)" w:hAnsi="等线(中文正文)" w:cs="等线(中文正文)" w:eastAsia="等线(中文正文)"/>
          <w:b w:val="false"/>
          <w:i w:val="false"/>
          <w:sz w:val="20"/>
        </w:rPr>
        <w:t>美国债务风险加剧，因债务扩张超出预期，国债存量提前两年突破40万亿美元。高利率环境导致利息负担加重，挤压财政预算，引发市场对财政赤字和利率上行的担忧。长期美债拍卖中，投资者要求更高风险补偿，市场波动性加大，美国债务问题成为全球市场关注焦点。</w:t>
      </w:r>
    </w:p>
    <w:p>
      <w:r>
        <w:rPr>
          <w:rFonts w:ascii="等线(中文正文)" w:hAnsi="等线(中文正文)" w:cs="等线(中文正文)" w:eastAsia="等线(中文正文)"/>
          <w:b w:val="false"/>
          <w:i w:val="false"/>
          <w:sz w:val="20"/>
        </w:rPr>
        <w:t/>
      </w:r>
    </w:p>
    <w:p>
      <w:pPr>
        <w:pStyle w:val="ab"/>
        <w:numPr>
          <w:numId w:val="3"/>
        </w:numPr>
      </w:pPr>
      <w:r>
        <w:t>04:57 美债波动与中期选举关系分析</w:t>
      </w:r>
    </w:p>
    <w:p>
      <w:r>
        <w:rPr>
          <w:rFonts w:ascii="等线(中文正文)" w:hAnsi="等线(中文正文)" w:cs="等线(中文正文)" w:eastAsia="等线(中文正文)"/>
          <w:b w:val="false"/>
          <w:i w:val="false"/>
          <w:sz w:val="20"/>
        </w:rPr>
        <w:t>讨论了美债市场波动与中期选举之间的联系，指出选举临近可能引发财政政策不确定性，导致债务上限谈判和政府停摆风险增加，从而影响全球资本市场。历史数据显示，中期选举前的八月至十月是市场波动率放大的时期，2010年以来四次中期选举均呈现这一特征。分析认为，当前美债收益率上行趋势可能受到财政博弈和流动性环境的影响，建议关注市场高波动环境下的对冲策略。</w:t>
      </w:r>
    </w:p>
    <w:p>
      <w:r>
        <w:rPr>
          <w:rFonts w:ascii="等线(中文正文)" w:hAnsi="等线(中文正文)" w:cs="等线(中文正文)" w:eastAsia="等线(中文正文)"/>
          <w:b w:val="false"/>
          <w:i w:val="false"/>
          <w:sz w:val="20"/>
        </w:rPr>
        <w:t/>
      </w:r>
    </w:p>
    <w:p>
      <w:pPr>
        <w:pStyle w:val="ab"/>
        <w:numPr>
          <w:numId w:val="4"/>
        </w:numPr>
      </w:pPr>
      <w:r>
        <w:t>09:25 科技资本开支与国产替代趋势分析</w:t>
      </w:r>
    </w:p>
    <w:p>
      <w:r>
        <w:rPr>
          <w:rFonts w:ascii="等线(中文正文)" w:hAnsi="等线(中文正文)" w:cs="等线(中文正文)" w:eastAsia="等线(中文正文)"/>
          <w:b w:val="false"/>
          <w:i w:val="false"/>
          <w:sz w:val="20"/>
        </w:rPr>
        <w:t>对话探讨了全球科技行业资本开支受高票息环境影响的趋势，指出海外链向国产链的转变，以及从价格导向转向量增型科技标的的投资逻辑。强调了流动性拐点对科技板块的影响，建议规避高估值波动，把握国产替代和量增型科技标的的投资机会。</w:t>
      </w:r>
    </w:p>
    <w:p>
      <w:r>
        <w:rPr>
          <w:rFonts w:ascii="等线(中文正文)" w:hAnsi="等线(中文正文)" w:cs="等线(中文正文)" w:eastAsia="等线(中文正文)"/>
          <w:b w:val="false"/>
          <w:i w:val="false"/>
          <w:sz w:val="20"/>
        </w:rPr>
        <w:t/>
      </w:r>
    </w:p>
    <w:p>
      <w:pPr>
        <w:pStyle w:val="a7"/>
      </w:pPr>
      <w:r>
        <w:t>发言总结</w:t>
      </w:r>
    </w:p>
    <w:p>
      <w:pPr>
        <w:pStyle w:val="ab"/>
        <w:numPr>
          <w:numId w:val="5"/>
        </w:numPr>
      </w:pPr>
      <w:r>
        <w:t>发言人1</w:t>
      </w:r>
    </w:p>
    <w:p>
      <w:r>
        <w:rPr>
          <w:rFonts w:ascii="等线(中文正文)" w:hAnsi="等线(中文正文)" w:cs="等线(中文正文)" w:eastAsia="等线(中文正文)"/>
          <w:b w:val="false"/>
          <w:i w:val="false"/>
          <w:sz w:val="20"/>
        </w:rPr>
        <w:t>首先自我介绍为来自东吴测试的谢雨欣，并对各位领导参与中国一棵松系列的活动表示欢迎。随后，他转而讨论了当前科技行业所面临的形势，特别强调了美债收益率上行对全球市场，尤其是股市、A股和港股的调整，以及贵金属和比特币等资产的同步上涨所带来的影响。分析了美债收益率上行背后的原因，包括财政担忧、供需失衡和政策不确定性，并提到了这些因素如何放大了临近中期选举时市场的波动。他还探讨了科技行业的未来发展趋势，指出国产替代的加强和对高估值品种的规避是重要趋势，并提倡投资者关注产能释放和订单落地的硬核科技标的。最后，他对投资者的支持表示感谢，并介绍了相关的APP和资源。</w:t>
      </w:r>
    </w:p>
    <w:p>
      <w:r>
        <w:rPr>
          <w:rFonts w:ascii="等线(中文正文)" w:hAnsi="等线(中文正文)" w:cs="等线(中文正文)" w:eastAsia="等线(中文正文)"/>
          <w:b w:val="false"/>
          <w:i w:val="false"/>
          <w:sz w:val="20"/>
        </w:rPr>
        <w:t/>
      </w:r>
    </w:p>
    <w:p>
      <w:pPr>
        <w:pStyle w:val="a7"/>
      </w:pPr>
      <w:r>
        <w:t>要点回顾</w:t>
      </w:r>
    </w:p>
    <w:p>
      <w:pPr>
        <w:pStyle w:val="ab"/>
      </w:pPr>
      <w:r>
        <w:t>上周市场的主要情况是什么？美债收益率上行背后有哪些诱因？</w:t>
      </w:r>
    </w:p>
    <w:p>
      <w:r>
        <w:rPr>
          <w:rFonts w:ascii="等线(中文正文)" w:hAnsi="等线(中文正文)" w:cs="等线(中文正文)" w:eastAsia="等线(中文正文)"/>
          <w:b w:val="false"/>
          <w:i w:val="false"/>
          <w:sz w:val="20"/>
        </w:rPr>
        <w:t>发言人1：上周市场呈现出一定的混乱状态，美股、A股都在调整，而港股有所修复。贵金属和比特币与非主权资产同步上涨，同时原油价格也在上涨，整体定价模式较为混乱。美债收益率上行至4.746和5.336的历史高位，资产定价缺乏统一的宏观因子，权益市场主要反映了美国增长偏弱和通胀韧性带来的滞胀趋势。美债收益率上行背后存在三重压力：第一，财政担忧与关税提升带来的对抗压力以及地缘政治冲突导致的军费扩张；第二，供需失衡，三季度通常是季节性需求高峰，叠加日本稳汇率的美债抛压和科技企业大规模发展带来的供给增加；第三，当前政策具有高度不确定性，美联储政策框架模糊，即使出现降息，十年期美债利率反而上升。</w:t>
      </w:r>
    </w:p>
    <w:p>
      <w:r>
        <w:rPr>
          <w:rFonts w:ascii="等线(中文正文)" w:hAnsi="等线(中文正文)" w:cs="等线(中文正文)" w:eastAsia="等线(中文正文)"/>
          <w:b w:val="false"/>
          <w:i w:val="false"/>
          <w:sz w:val="20"/>
        </w:rPr>
        <w:t/>
      </w:r>
    </w:p>
    <w:p>
      <w:pPr>
        <w:pStyle w:val="ab"/>
      </w:pPr>
      <w:r>
        <w:t>美国债务风险发酵的具体原因是什么？</w:t>
      </w:r>
    </w:p>
    <w:p>
      <w:r>
        <w:rPr>
          <w:rFonts w:ascii="等线(中文正文)" w:hAnsi="等线(中文正文)" w:cs="等线(中文正文)" w:eastAsia="等线(中文正文)"/>
          <w:b w:val="false"/>
          <w:i w:val="false"/>
          <w:sz w:val="20"/>
        </w:rPr>
        <w:t>发言人1：美国债务风险持续发酵主要是因为债务扩张速度超过预期，债务存量提前两年突破40万亿美元关口，并且面临存量债务集中到期与高利率环境的叠加影响，导致年度利息负担显著回升，挤压常规财政预算，进而引发市场对财政赤字和利率上行的担忧。</w:t>
      </w:r>
    </w:p>
    <w:p>
      <w:r>
        <w:rPr>
          <w:rFonts w:ascii="等线(中文正文)" w:hAnsi="等线(中文正文)" w:cs="等线(中文正文)" w:eastAsia="等线(中文正文)"/>
          <w:b w:val="false"/>
          <w:i w:val="false"/>
          <w:sz w:val="20"/>
        </w:rPr>
        <w:t/>
      </w:r>
    </w:p>
    <w:p>
      <w:pPr>
        <w:pStyle w:val="ab"/>
      </w:pPr>
      <w:r>
        <w:t>美债拍卖的情况如何？中期选举如何影响美债市场波动？</w:t>
      </w:r>
    </w:p>
    <w:p>
      <w:r>
        <w:rPr>
          <w:rFonts w:ascii="等线(中文正文)" w:hAnsi="等线(中文正文)" w:cs="等线(中文正文)" w:eastAsia="等线(中文正文)"/>
          <w:b w:val="false"/>
          <w:i w:val="false"/>
          <w:sz w:val="20"/>
        </w:rPr>
        <w:t>发言人1：近期美债拍卖出现持续疲软现象，投资者要求更高的风险补偿以接盘偿债。例如，8月13日美国债务拍卖中，30年期美债中标收益率达到5.216%，为2001年以来的新高，投标倍数为2.39，出现了小额正向拍卖尾部的情况。中期选举决定未来两年财政监管和贸易政策的连贯性，共和党若失去两院控制权可能导致预算谈判、债务上限和拨款博弈概率升高，限制财政扩张并推高美债信息价。此外，债务上限谈判可能导致政府停摆风险，加剧中期选举前市场的波动。</w:t>
      </w:r>
    </w:p>
    <w:p>
      <w:r>
        <w:rPr>
          <w:rFonts w:ascii="等线(中文正文)" w:hAnsi="等线(中文正文)" w:cs="等线(中文正文)" w:eastAsia="等线(中文正文)"/>
          <w:b w:val="false"/>
          <w:i w:val="false"/>
          <w:sz w:val="20"/>
        </w:rPr>
        <w:t/>
      </w:r>
    </w:p>
    <w:p>
      <w:pPr>
        <w:pStyle w:val="ab"/>
      </w:pPr>
      <w:r>
        <w:t>是否存在特定时间窗口会影响市场波动？</w:t>
      </w:r>
    </w:p>
    <w:p>
      <w:r>
        <w:rPr>
          <w:rFonts w:ascii="等线(中文正文)" w:hAnsi="等线(中文正文)" w:cs="等线(中文正文)" w:eastAsia="等线(中文正文)"/>
          <w:b w:val="false"/>
          <w:i w:val="false"/>
          <w:sz w:val="20"/>
        </w:rPr>
        <w:t>发言人1：是的，存在特定的时间窗口会影响市场波动。八月中旬至十月是维克斯指数季节性波动的重要阶段，其中九月中旬前后为行情加速期，市场波动迅速放大，临近中期选举时达到顶峰，随后逐步走弱。这一现象表明市场对于中期选举的影响已基本确定。</w:t>
      </w:r>
    </w:p>
    <w:p>
      <w:r>
        <w:rPr>
          <w:rFonts w:ascii="等线(中文正文)" w:hAnsi="等线(中文正文)" w:cs="等线(中文正文)" w:eastAsia="等线(中文正文)"/>
          <w:b w:val="false"/>
          <w:i w:val="false"/>
          <w:sz w:val="20"/>
        </w:rPr>
        <w:t/>
      </w:r>
    </w:p>
    <w:p>
      <w:pPr>
        <w:pStyle w:val="ab"/>
      </w:pPr>
      <w:r>
        <w:t>VVVVX指数是否能体现市场趋势，以及它与A股的表现有何关联？</w:t>
      </w:r>
    </w:p>
    <w:p>
      <w:r>
        <w:rPr>
          <w:rFonts w:ascii="等线(中文正文)" w:hAnsi="等线(中文正文)" w:cs="等线(中文正文)" w:eastAsia="等线(中文正文)"/>
          <w:b w:val="false"/>
          <w:i w:val="false"/>
          <w:sz w:val="20"/>
        </w:rPr>
        <w:t>发言人1：是的，VVVVX指数能够体现市场趋势，并且其增长和整体表现节奏与Wax或VX指数相似。在8月14号左右，VX指数处在阶段性的底部14.25，受到美债影响后，在8月20日升至16.01。参考历史经验，VX指数的波动率会逐步放大，预示着资本市场可能进入高波动环境，直到10月中旬。</w:t>
      </w:r>
    </w:p>
    <w:p>
      <w:r>
        <w:rPr>
          <w:rFonts w:ascii="等线(中文正文)" w:hAnsi="等线(中文正文)" w:cs="等线(中文正文)" w:eastAsia="等线(中文正文)"/>
          <w:b w:val="false"/>
          <w:i w:val="false"/>
          <w:sz w:val="20"/>
        </w:rPr>
        <w:t/>
      </w:r>
    </w:p>
    <w:p>
      <w:pPr>
        <w:pStyle w:val="ab"/>
      </w:pPr>
      <w:r>
        <w:t>近期市场波动的原因及对未来的影响是什么？</w:t>
      </w:r>
    </w:p>
    <w:p>
      <w:r>
        <w:rPr>
          <w:rFonts w:ascii="等线(中文正文)" w:hAnsi="等线(中文正文)" w:cs="等线(中文正文)" w:eastAsia="等线(中文正文)"/>
          <w:b w:val="false"/>
          <w:i w:val="false"/>
          <w:sz w:val="20"/>
        </w:rPr>
        <w:t>发言人1：近期市场波动主要由于供给脉冲边际放缓、日元走贬以及中期财政博弈达到阶段性瓶颈等因素，导致实际利率政策利率预期向下转移，为长端资产提供向下的牵引力，形成流动性顺风的交易环境。然而，在美债长期收益率走高和全球流动性收紧的情况下，高估值纯情绪趋势及利率上行敏感的科技板块将面临估值承压和波动加剧。</w:t>
      </w:r>
    </w:p>
    <w:p>
      <w:r>
        <w:rPr>
          <w:rFonts w:ascii="等线(中文正文)" w:hAnsi="等线(中文正文)" w:cs="等线(中文正文)" w:eastAsia="等线(中文正文)"/>
          <w:b w:val="false"/>
          <w:i w:val="false"/>
          <w:sz w:val="20"/>
        </w:rPr>
        <w:t/>
      </w:r>
    </w:p>
    <w:p>
      <w:pPr>
        <w:pStyle w:val="ab"/>
      </w:pPr>
      <w:r>
        <w:t>科技行业未来资本开支情况如何，会对全球科技行业产生何种影响？</w:t>
      </w:r>
    </w:p>
    <w:p>
      <w:r>
        <w:rPr>
          <w:rFonts w:ascii="等线(中文正文)" w:hAnsi="等线(中文正文)" w:cs="等线(中文正文)" w:eastAsia="等线(中文正文)"/>
          <w:b w:val="false"/>
          <w:i w:val="false"/>
          <w:sz w:val="20"/>
        </w:rPr>
        <w:t>发言人1：根据四大云厂商（亚马逊、微软、谷歌、Meta）2026年的资本开支指引合计约7250亿美元，以及2025年的4100亿美元增长77%的数据，这将推动上游美股算力相关业务量爆发式增长。但随着全球股价定价转向举债扩张资本开支能否兑现和ROI，科技大厂自由现金流转弱，对外部融资依赖度显著上升，尤其是债融比例持续上升，可能会抑制全球科技行业资本开支的投入，对科技资本开支产生压制作用。</w:t>
      </w:r>
    </w:p>
    <w:p>
      <w:r>
        <w:rPr>
          <w:rFonts w:ascii="等线(中文正文)" w:hAnsi="等线(中文正文)" w:cs="等线(中文正文)" w:eastAsia="等线(中文正文)"/>
          <w:b w:val="false"/>
          <w:i w:val="false"/>
          <w:sz w:val="20"/>
        </w:rPr>
        <w:t/>
      </w:r>
    </w:p>
    <w:p>
      <w:pPr>
        <w:pStyle w:val="ab"/>
      </w:pPr>
      <w:r>
        <w:t>当前科技行情是否结束，将如何轮动？</w:t>
      </w:r>
    </w:p>
    <w:p>
      <w:r>
        <w:rPr>
          <w:rFonts w:ascii="等线(中文正文)" w:hAnsi="等线(中文正文)" w:cs="等线(中文正文)" w:eastAsia="等线(中文正文)"/>
          <w:b w:val="false"/>
          <w:i w:val="false"/>
          <w:sz w:val="20"/>
        </w:rPr>
        <w:t>发言人1：科技行情尚未结束，而是进入了一个缩圈分化轮动的早期阶段。流动性拐点通常领先基本面2到3个季度，当前正处于科技板块由全面上涨转向核心逻辑切换的关键窗口期。首先，海外链会转向国产链，因为海外高票息环境抑制全球科技资本开支和国产算力赛道；其次，行情将从看重价格转向关注产能释放和订单落地的量增型硬核科技标的。</w:t>
      </w:r>
    </w:p>
    <w:p>
      <w:r>
        <w:rPr>
          <w:rFonts w:ascii="等线(中文正文)" w:hAnsi="等线(中文正文)" w:cs="等线(中文正文)" w:eastAsia="等线(中文正文)"/>
          <w:b w:val="false"/>
          <w:i w:val="false"/>
          <w:sz w:val="20"/>
        </w:rPr>
        <w:t/>
      </w:r>
    </w:p>
    <w:p>
      <w:pPr>
        <w:pStyle w:val="ab"/>
      </w:pPr>
      <w:r>
        <w:t>近期市场波动的主要原因及A股的反应如何？</w:t>
      </w:r>
    </w:p>
    <w:p>
      <w:r>
        <w:rPr>
          <w:rFonts w:ascii="等线(中文正文)" w:hAnsi="等线(中文正文)" w:cs="等线(中文正文)" w:eastAsia="等线(中文正文)"/>
          <w:b w:val="false"/>
          <w:i w:val="false"/>
          <w:sz w:val="20"/>
        </w:rPr>
        <w:t>发言人1：最近市场的明显波动主要是由于美债高波动性和突破过往阈值的影响，同时临近中期选举使得一些潜在问题提前被交易。A股也因此受到美股冲击，在这种情况下，短期内流动性趋于密封，高估值品种受损。建议以一波红利去对冲高波动性的影响。</w:t>
      </w:r>
    </w:p>
    <w:p>
      <w:r>
        <w:rPr>
          <w:rFonts w:ascii="等线(中文正文)" w:hAnsi="等线(中文正文)" w:cs="等线(中文正文)" w:eastAsia="等线(中文正文)"/>
          <w:b w:val="false"/>
          <w:i w:val="false"/>
          <w:sz w:val="20"/>
        </w:rPr>
        <w:t/>
      </w:r>
    </w:p>
    <w:p>
      <w:pPr>
        <w:pStyle w:val="ab"/>
      </w:pPr>
      <w:r>
        <w:t>对于科技主线行情的看法是什么？</w:t>
      </w:r>
    </w:p>
    <w:p>
      <w:r>
        <w:rPr>
          <w:rFonts w:ascii="等线(中文正文)" w:hAnsi="等线(中文正文)" w:cs="等线(中文正文)" w:eastAsia="等线(中文正文)"/>
          <w:b w:val="false"/>
          <w:i w:val="false"/>
          <w:sz w:val="20"/>
        </w:rPr>
        <w:t>发言人1：尽管传统海外链条受到高票息影响并进一步抑制资本开支能力，导致科技行情有所压制，但科技整体行情并未结束。未来应规避高估值波动，把握中期经济线索，优先关注产能释放和订单落地的量增型硬核科技标的。</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2026-08-23T14:14:48Z</dcterms:created>
  <dc:creator>Apache POI</dc:creator>
</cp:coreProperties>
</file>