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华金策略 - 聚焦一刻系列电话会议第145期：震荡期什么行业占优？ 260823_导读</w:t>
      </w:r>
    </w:p>
    <w:p>
      <w:pPr>
        <w:pStyle w:val="a0"/>
        <w:jc w:val="center"/>
      </w:pPr>
      <w:r>
        <w:t>2026年08月23日 22:07</w:t>
      </w:r>
    </w:p>
    <w:p>
      <w:pPr>
        <w:pStyle w:val="a7"/>
      </w:pPr>
      <w:r>
        <w:t>关键词</w:t>
      </w:r>
    </w:p>
    <w:p>
      <w:r>
        <w:rPr>
          <w:rFonts w:ascii="等线(中文正文)" w:hAnsi="等线(中文正文)" w:cs="等线(中文正文)" w:eastAsia="等线(中文正文)"/>
          <w:b w:val="false"/>
          <w:i w:val="false"/>
          <w:sz w:val="20"/>
        </w:rPr>
        <w:t xml:space="preserve">美债收益率 美国债务风险 美元指数 高新技术行业 产业趋势 经济数据 中美关系 高质量发展 股市资金 科技成长 有色金属 政策支持 盈利增速 震荡期 周期行业 估值情绪 半导体 AI硬件 AI应用 小金属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当前金融市场面临两大风险：一是国内外资本市场的不确定性增加，二是美债收益率上行给市场带来压力，但短期内这种压力可能已相对充分释放。美债收益率上升更多反映了市场对美国债务风险的担忧，而非通胀问题，加之近期美国就业和通胀数据表现较弱，降低了美联储大幅加息的可能性，对股市构成利好。此外，美元指数回落和比特币价格上涨表明市场情绪有所回暖，对科技股等风险资产有利。国内方面，经济和盈利呈现结构性回升，政策支持和流动性宽松为股市提供了有力支撑。总体而言，虽然市场仍处于震荡期，但科技成长和周期行业有望因政策支持和产业趋势而表现亮眼。</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美债收益率上行对股市影响分析</w:t>
      </w:r>
    </w:p>
    <w:p>
      <w:r>
        <w:rPr>
          <w:rFonts w:ascii="等线(中文正文)" w:hAnsi="等线(中文正文)" w:cs="等线(中文正文)" w:eastAsia="等线(中文正文)"/>
          <w:b w:val="false"/>
          <w:i w:val="false"/>
          <w:sz w:val="20"/>
        </w:rPr>
        <w:t>对话讨论了美债收益率上行对全球资本市场的影响，指出近期上行主要反映了对美国长期债务风险的担忧，而非短期流动性或通胀压力。基于就业和通胀数据偏弱，美联储九月加息概率低，表明美债收益率上行对股市的压制可能已充分反映，未来影响需关注债务风险变化。</w:t>
      </w:r>
    </w:p>
    <w:p>
      <w:r>
        <w:rPr>
          <w:rFonts w:ascii="等线(中文正文)" w:hAnsi="等线(中文正文)" w:cs="等线(中文正文)" w:eastAsia="等线(中文正文)"/>
          <w:b w:val="false"/>
          <w:i w:val="false"/>
          <w:sz w:val="20"/>
        </w:rPr>
        <w:t/>
      </w:r>
    </w:p>
    <w:p>
      <w:pPr>
        <w:pStyle w:val="ab"/>
        <w:numPr>
          <w:numId w:val="2"/>
        </w:numPr>
      </w:pPr>
      <w:r>
        <w:t>02:29 美债收益率上行与美元回落对股市影响分析</w:t>
      </w:r>
    </w:p>
    <w:p>
      <w:r>
        <w:rPr>
          <w:rFonts w:ascii="等线(中文正文)" w:hAnsi="等线(中文正文)" w:cs="等线(中文正文)" w:eastAsia="等线(中文正文)"/>
          <w:b w:val="false"/>
          <w:i w:val="false"/>
          <w:sz w:val="20"/>
        </w:rPr>
        <w:t>讨论了美债收益率上行背后的原因，指出更多是对美国债务风险的担忧而非通胀或加息预期，认为这一趋势可能仅为短期现象。美元指数的回落与比特币上涨表明市场情绪的转变，对股市估值的压制作用已较为充分，且美元回落有望提振科技股。此外，债务风险可能降低通胀担忧，对股市形成支撑。</w:t>
      </w:r>
    </w:p>
    <w:p>
      <w:r>
        <w:rPr>
          <w:rFonts w:ascii="等线(中文正文)" w:hAnsi="等线(中文正文)" w:cs="等线(中文正文)" w:eastAsia="等线(中文正文)"/>
          <w:b w:val="false"/>
          <w:i w:val="false"/>
          <w:sz w:val="20"/>
        </w:rPr>
        <w:t/>
      </w:r>
    </w:p>
    <w:p>
      <w:pPr>
        <w:pStyle w:val="ab"/>
        <w:numPr>
          <w:numId w:val="3"/>
        </w:numPr>
      </w:pPr>
      <w:r>
        <w:t>06:42 国内经济结构性亮点与政策支撑分析</w:t>
      </w:r>
    </w:p>
    <w:p>
      <w:r>
        <w:rPr>
          <w:rFonts w:ascii="等线(中文正文)" w:hAnsi="等线(中文正文)" w:cs="等线(中文正文)" w:eastAsia="等线(中文正文)"/>
          <w:b w:val="false"/>
          <w:i w:val="false"/>
          <w:sz w:val="20"/>
        </w:rPr>
        <w:t>国内经济在出口和高新技术行业制造业投资方面展现出结构性亮点，尽管总量偏弱，但与科技相关的领域表现突出。企业盈利方面，科技类及周期类行业如计算机、有色金属和石化表现较好，整体经济和盈利呈现结构性回升态势。政策层面，流动性相对海外偏宽松，为经济提供了支撑。</w:t>
      </w:r>
    </w:p>
    <w:p>
      <w:r>
        <w:rPr>
          <w:rFonts w:ascii="等线(中文正文)" w:hAnsi="等线(中文正文)" w:cs="等线(中文正文)" w:eastAsia="等线(中文正文)"/>
          <w:b w:val="false"/>
          <w:i w:val="false"/>
          <w:sz w:val="20"/>
        </w:rPr>
        <w:t/>
      </w:r>
    </w:p>
    <w:p>
      <w:pPr>
        <w:pStyle w:val="ab"/>
        <w:numPr>
          <w:numId w:val="4"/>
        </w:numPr>
      </w:pPr>
      <w:r>
        <w:t>09:48 A股市场政策与流动性影响分析</w:t>
      </w:r>
    </w:p>
    <w:p>
      <w:r>
        <w:rPr>
          <w:rFonts w:ascii="等线(中文正文)" w:hAnsi="等线(中文正文)" w:cs="等线(中文正文)" w:eastAsia="等线(中文正文)"/>
          <w:b w:val="false"/>
          <w:i w:val="false"/>
          <w:sz w:val="20"/>
        </w:rPr>
        <w:t>近期经济政策积极，重点推进存量政策落实与增量政策实施，如贴息贷款等，资本市场政策平稳，科技企业融资加速。中美关系预期改善，外部风险偏积极。流动性方面，海外受数据影响偏弱，国内股市资金值得关注，短期A股市场偏震荡。</w:t>
      </w:r>
    </w:p>
    <w:p>
      <w:r>
        <w:rPr>
          <w:rFonts w:ascii="等线(中文正文)" w:hAnsi="等线(中文正文)" w:cs="等线(中文正文)" w:eastAsia="等线(中文正文)"/>
          <w:b w:val="false"/>
          <w:i w:val="false"/>
          <w:sz w:val="20"/>
        </w:rPr>
        <w:t/>
      </w:r>
    </w:p>
    <w:p>
      <w:pPr>
        <w:pStyle w:val="ab"/>
        <w:numPr>
          <w:numId w:val="5"/>
        </w:numPr>
      </w:pPr>
      <w:r>
        <w:t>14:15 市场震荡期行业表现与产业趋势分析</w:t>
      </w:r>
    </w:p>
    <w:p>
      <w:r>
        <w:rPr>
          <w:rFonts w:ascii="等线(中文正文)" w:hAnsi="等线(中文正文)" w:cs="等线(中文正文)" w:eastAsia="等线(中文正文)"/>
          <w:b w:val="false"/>
          <w:i w:val="false"/>
          <w:sz w:val="20"/>
        </w:rPr>
        <w:t>对话分析了市场震荡期的行业表现特征，指出强产业趋势和政策催化是行业领涨的关键因素，同时强调了盈利增速的重要性。科技成长与有色金属等周期行业因高景气度而表现突出，但估值情绪影响有限。历史经验表明，震荡期领涨行业多与产业趋势或政策紧密相关，业绩增速排名前列的行业也往往涨幅居前。</w:t>
      </w:r>
    </w:p>
    <w:p>
      <w:r>
        <w:rPr>
          <w:rFonts w:ascii="等线(中文正文)" w:hAnsi="等线(中文正文)" w:cs="等线(中文正文)" w:eastAsia="等线(中文正文)"/>
          <w:b w:val="false"/>
          <w:i w:val="false"/>
          <w:sz w:val="20"/>
        </w:rPr>
        <w:t/>
      </w:r>
    </w:p>
    <w:p>
      <w:pPr>
        <w:pStyle w:val="ab"/>
        <w:numPr>
          <w:numId w:val="6"/>
        </w:numPr>
      </w:pPr>
      <w:r>
        <w:t>19:01 科技成长与周期行业：政策催化下的市场趋势</w:t>
      </w:r>
    </w:p>
    <w:p>
      <w:r>
        <w:rPr>
          <w:rFonts w:ascii="等线(中文正文)" w:hAnsi="等线(中文正文)" w:cs="等线(中文正文)" w:eastAsia="等线(中文正文)"/>
          <w:b w:val="false"/>
          <w:i w:val="false"/>
          <w:sz w:val="20"/>
        </w:rPr>
        <w:t>对话讨论了科技成长与周期行业在政策催化下的市场趋势。科技成长方面，包括国产生成招标、深圳人工智能博览会、光博会及中国算力大会等催化密集，以及特斯拉产线调试、默沙东癌症疫苗三期阳性等事件。周期行业则受AI需求和政策影响，如美债危机导致美元走弱，贵金属表现强劲。政策层面，重点在于推进六张网建设和全国算力基础设施，对周期行业有托底作用，但消费行业趋势较弱。总体而言，科技成长与周期行业是当前市场关注的焦点。</w:t>
      </w:r>
    </w:p>
    <w:p>
      <w:r>
        <w:rPr>
          <w:rFonts w:ascii="等线(中文正文)" w:hAnsi="等线(中文正文)" w:cs="等线(中文正文)" w:eastAsia="等线(中文正文)"/>
          <w:b w:val="false"/>
          <w:i w:val="false"/>
          <w:sz w:val="20"/>
        </w:rPr>
        <w:t/>
      </w:r>
    </w:p>
    <w:p>
      <w:pPr>
        <w:pStyle w:val="ab"/>
        <w:numPr>
          <w:numId w:val="7"/>
        </w:numPr>
      </w:pPr>
      <w:r>
        <w:t>22:10 行业业绩分析与配置建议</w:t>
      </w:r>
    </w:p>
    <w:p>
      <w:r>
        <w:rPr>
          <w:rFonts w:ascii="等线(中文正文)" w:hAnsi="等线(中文正文)" w:cs="等线(中文正文)" w:eastAsia="等线(中文正文)"/>
          <w:b w:val="false"/>
          <w:i w:val="false"/>
          <w:sz w:val="20"/>
        </w:rPr>
        <w:t>对话分析了1到6月工业企业利润增速及已披露中报业绩，指出科技成长与部分周期行业表现突出，推荐半导体、AI相关、小金属等方向，同时提及创新药、商业航天的配置机会，最后建议关注消费等低估值蓝筹行业。</w:t>
      </w:r>
    </w:p>
    <w:p>
      <w:r>
        <w:rPr>
          <w:rFonts w:ascii="等线(中文正文)" w:hAnsi="等线(中文正文)" w:cs="等线(中文正文)" w:eastAsia="等线(中文正文)"/>
          <w:b w:val="false"/>
          <w:i w:val="false"/>
          <w:sz w:val="20"/>
        </w:rPr>
        <w:t/>
      </w:r>
    </w:p>
    <w:p>
      <w:pPr>
        <w:pStyle w:val="a7"/>
      </w:pPr>
      <w:r>
        <w:t>发言总结</w:t>
      </w:r>
    </w:p>
    <w:p>
      <w:pPr>
        <w:pStyle w:val="ab"/>
        <w:numPr>
          <w:numId w:val="8"/>
        </w:numPr>
      </w:pPr>
      <w:r>
        <w:t>发言人1</w:t>
      </w:r>
    </w:p>
    <w:p>
      <w:r>
        <w:rPr>
          <w:rFonts w:ascii="等线(中文正文)" w:hAnsi="等线(中文正文)" w:cs="等线(中文正文)" w:eastAsia="等线(中文正文)"/>
          <w:b w:val="false"/>
          <w:i w:val="false"/>
          <w:sz w:val="20"/>
        </w:rPr>
        <w:t>讨论了两个主要的市场风险：对国内及海外资本市场的担忧，以及对美债收益率上行的担忧。尽管美债收益率上行短期内对市场形成压制，但他认为这种压制已相对充分，美债收益率的上行更多反映对美国债务风险的担忧，而非通胀上行。近期美债收益率的上升主要是因为对美国债务风险的担忧，而非对通胀的担忧，且美债收益率的上升并未导致美元走强。当前市场面临的两大支撑因素是海外风险的担忧难持续以及国内经济和政策的支撑，尤其是科技成长和部分周期行业的表现，将成为市场的主要驱动力。基于当前市场的震荡态势，他提出了对科技成长和部分周期行业的重点推荐配置观点，包括半导体、AI硬件、AI应用、有色金属、化工新材料等。</w:t>
      </w:r>
    </w:p>
    <w:p>
      <w:r>
        <w:rPr>
          <w:rFonts w:ascii="等线(中文正文)" w:hAnsi="等线(中文正文)" w:cs="等线(中文正文)" w:eastAsia="等线(中文正文)"/>
          <w:b w:val="false"/>
          <w:i w:val="false"/>
          <w:sz w:val="20"/>
        </w:rPr>
        <w:t/>
      </w:r>
    </w:p>
    <w:p>
      <w:pPr>
        <w:pStyle w:val="a7"/>
      </w:pPr>
      <w:r>
        <w:t>要点回顾</w:t>
      </w:r>
    </w:p>
    <w:p>
      <w:pPr>
        <w:pStyle w:val="ab"/>
      </w:pPr>
      <w:r>
        <w:t>美债收益率上行对股市的影响是什么？美债收益率上行的原因是什么？会对美元指数和股市产生何种影响？</w:t>
      </w:r>
    </w:p>
    <w:p>
      <w:r>
        <w:rPr>
          <w:rFonts w:ascii="等线(中文正文)" w:hAnsi="等线(中文正文)" w:cs="等线(中文正文)" w:eastAsia="等线(中文正文)"/>
          <w:b w:val="false"/>
          <w:i w:val="false"/>
          <w:sz w:val="20"/>
        </w:rPr>
        <w:t>发言人1：美债收益率上行在短期内对全球资本市场有压制作用，但这种压制可能已经较为充分。从逻辑上推导，当前美债收益率上行更多反映的是对美国债务风险的担忧而非通胀上行的担忧。长端收益率上行明显，代表了对长期债务问题的关注，而非短期流动性担忧。此外，近期美国就业和通胀数据走弱，降低了美联储九月加息的概率，进一步表明美债收益率上行并非反映短期流动性收缩的担忧。美债收益率上行主要源于市场对美国债务风险的担忧，而非通胀导致的加息预期。这一担忧导致美元指数回落，而比特币上涨，确认了美债收益率上行更多源于对美国信用和债务风险的考虑。虽然收益率上行对股市估值有情绪上的压制，但由于其背后的原因主要是美国国债自身的需求和信用风险，而非通胀引发的加息担忧，所以对股市的实际压制有限。同时，美元回落有助于提升风险资产情绪，包括科技股。</w:t>
      </w:r>
    </w:p>
    <w:p>
      <w:r>
        <w:rPr>
          <w:rFonts w:ascii="等线(中文正文)" w:hAnsi="等线(中文正文)" w:cs="等线(中文正文)" w:eastAsia="等线(中文正文)"/>
          <w:b w:val="false"/>
          <w:i w:val="false"/>
          <w:sz w:val="20"/>
        </w:rPr>
        <w:t/>
      </w:r>
    </w:p>
    <w:p>
      <w:pPr>
        <w:pStyle w:val="ab"/>
      </w:pPr>
      <w:r>
        <w:t>美债长期收益率是否难以上行，以及其对通胀担忧的影响如何？</w:t>
      </w:r>
    </w:p>
    <w:p>
      <w:r>
        <w:rPr>
          <w:rFonts w:ascii="等线(中文正文)" w:hAnsi="等线(中文正文)" w:cs="等线(中文正文)" w:eastAsia="等线(中文正文)"/>
          <w:b w:val="false"/>
          <w:i w:val="false"/>
          <w:sz w:val="20"/>
        </w:rPr>
        <w:t>发言人1：美债长期收益率难以持续上行，原因包括：一是从引起收益率上行的事件分析，美国国债本身的需求和信用风险担忧是主要因素，而非通胀导致的加息担忧；二是美债收益率上行可能会降低通胀担忧，因为债务风险可能导致资金流入放缓，从而对消费引发的通胀起到压制作用。因此，从两个方面来看，美债收益率即便维持高位或继续上行，对股市估值的压制效应也较为有限。</w:t>
      </w:r>
    </w:p>
    <w:p>
      <w:r>
        <w:rPr>
          <w:rFonts w:ascii="等线(中文正文)" w:hAnsi="等线(中文正文)" w:cs="等线(中文正文)" w:eastAsia="等线(中文正文)"/>
          <w:b w:val="false"/>
          <w:i w:val="false"/>
          <w:sz w:val="20"/>
        </w:rPr>
        <w:t/>
      </w:r>
    </w:p>
    <w:p>
      <w:pPr>
        <w:pStyle w:val="ab"/>
      </w:pPr>
      <w:r>
        <w:t>国内方面有哪些支撑经济复苏的因素？</w:t>
      </w:r>
    </w:p>
    <w:p>
      <w:r>
        <w:rPr>
          <w:rFonts w:ascii="等线(中文正文)" w:hAnsi="等线(中文正文)" w:cs="等线(中文正文)" w:eastAsia="等线(中文正文)"/>
          <w:b w:val="false"/>
          <w:i w:val="false"/>
          <w:sz w:val="20"/>
        </w:rPr>
        <w:t>发言人1：国内经济复苏的最强支撑来自于经济和盈利的结构性回升以及政策方面的优势。流动性层面，相较于海外，国内相对宽松。具体而言，尽管整体经济数据表现一般，但在结构上亮点较多，如出口持续维持高速增长（11月同比增速达24%），以及高新技术行业的制造业投资表现强劲，相比之下，固定资产投资、地产投资、基建投资和消费增速均出现明显回落。出口和科技相关的高新技术行业投资成为整体经济的主要亮点。</w:t>
      </w:r>
    </w:p>
    <w:p>
      <w:r>
        <w:rPr>
          <w:rFonts w:ascii="等线(中文正文)" w:hAnsi="等线(中文正文)" w:cs="等线(中文正文)" w:eastAsia="等线(中文正文)"/>
          <w:b w:val="false"/>
          <w:i w:val="false"/>
          <w:sz w:val="20"/>
        </w:rPr>
        <w:t/>
      </w:r>
    </w:p>
    <w:p>
      <w:pPr>
        <w:pStyle w:val="ab"/>
      </w:pPr>
      <w:r>
        <w:t>企业盈利方面，目前进一步上行的空间如何？</w:t>
      </w:r>
    </w:p>
    <w:p>
      <w:r>
        <w:rPr>
          <w:rFonts w:ascii="等线(中文正文)" w:hAnsi="等线(中文正文)" w:cs="等线(中文正文)" w:eastAsia="等线(中文正文)"/>
          <w:b w:val="false"/>
          <w:i w:val="false"/>
          <w:sz w:val="20"/>
        </w:rPr>
        <w:t>发言人1：目前企业盈利进一步上行的空间相对有限，尤其是考虑到PP同比增速的回落情况。不过，在科技相关领域，如TMT（除传媒外）、有色金属、石化等行业，以及A股中周期类和计算机行业的盈利表现较好。</w:t>
      </w:r>
    </w:p>
    <w:p>
      <w:r>
        <w:rPr>
          <w:rFonts w:ascii="等线(中文正文)" w:hAnsi="等线(中文正文)" w:cs="等线(中文正文)" w:eastAsia="等线(中文正文)"/>
          <w:b w:val="false"/>
          <w:i w:val="false"/>
          <w:sz w:val="20"/>
        </w:rPr>
        <w:t/>
      </w:r>
    </w:p>
    <w:p>
      <w:pPr>
        <w:pStyle w:val="ab"/>
      </w:pPr>
      <w:r>
        <w:t>近期政策方面有哪些主要动态和特点？</w:t>
      </w:r>
    </w:p>
    <w:p>
      <w:r>
        <w:rPr>
          <w:rFonts w:ascii="等线(中文正文)" w:hAnsi="等线(中文正文)" w:cs="等线(中文正文)" w:eastAsia="等线(中文正文)"/>
          <w:b w:val="false"/>
          <w:i w:val="false"/>
          <w:sz w:val="20"/>
        </w:rPr>
        <w:t>发言人1：近期政策上，经济政策层面主要是执行七月政治局会议的精神，发改委强调用好存量政策来谋划增量，重点推进“十五五”重大工程、新型基础设施建设等。增量政策方面，主要体现在结构性货币政策工具的加速使用，例如央行、金融监管总局和财政部共同推动的六大方向贴息贷款，包括中小微贷款、设备更新贷款和个人消费贷款的贴息。</w:t>
      </w:r>
    </w:p>
    <w:p>
      <w:r>
        <w:rPr>
          <w:rFonts w:ascii="等线(中文正文)" w:hAnsi="等线(中文正文)" w:cs="等线(中文正文)" w:eastAsia="等线(中文正文)"/>
          <w:b w:val="false"/>
          <w:i w:val="false"/>
          <w:sz w:val="20"/>
        </w:rPr>
        <w:t/>
      </w:r>
    </w:p>
    <w:p>
      <w:pPr>
        <w:pStyle w:val="ab"/>
      </w:pPr>
      <w:r>
        <w:t>外部事件对市场的影响如何？</w:t>
      </w:r>
    </w:p>
    <w:p>
      <w:r>
        <w:rPr>
          <w:rFonts w:ascii="等线(中文正文)" w:hAnsi="等线(中文正文)" w:cs="等线(中文正文)" w:eastAsia="等线(中文正文)"/>
          <w:b w:val="false"/>
          <w:i w:val="false"/>
          <w:sz w:val="20"/>
        </w:rPr>
        <w:t>发言人1：外部事件中，短期内美债收益上行有所限制，更值得关注的是中美关系。预计在未来一个月左右，随着中美元首可能的会面，中美关系将维持平稳甚至改善状态，这对外部风险的影响偏积极。</w:t>
      </w:r>
    </w:p>
    <w:p>
      <w:r>
        <w:rPr>
          <w:rFonts w:ascii="等线(中文正文)" w:hAnsi="等线(中文正文)" w:cs="等线(中文正文)" w:eastAsia="等线(中文正文)"/>
          <w:b w:val="false"/>
          <w:i w:val="false"/>
          <w:sz w:val="20"/>
        </w:rPr>
        <w:t/>
      </w:r>
    </w:p>
    <w:p>
      <w:pPr>
        <w:pStyle w:val="ab"/>
      </w:pPr>
      <w:r>
        <w:t>流动性方面的情况如何？</w:t>
      </w:r>
    </w:p>
    <w:p>
      <w:r>
        <w:rPr>
          <w:rFonts w:ascii="等线(中文正文)" w:hAnsi="等线(中文正文)" w:cs="等线(中文正文)" w:eastAsia="等线(中文正文)"/>
          <w:b w:val="false"/>
          <w:i w:val="false"/>
          <w:sz w:val="20"/>
        </w:rPr>
        <w:t>发言人1：海外流动性受数据影响，近期美国相关数据偏弱，导致流动性及美元走势偏弱，维持宽松态势。国内流动性也较为宽松，资金变量主要关注股市资金，成交萎缩明显，但随着情绪修复和前期融资大幅流出后的回落，后续股市资金值得期待。</w:t>
      </w:r>
    </w:p>
    <w:p>
      <w:r>
        <w:rPr>
          <w:rFonts w:ascii="等线(中文正文)" w:hAnsi="等线(中文正文)" w:cs="等线(中文正文)" w:eastAsia="等线(中文正文)"/>
          <w:b w:val="false"/>
          <w:i w:val="false"/>
          <w:sz w:val="20"/>
        </w:rPr>
        <w:t/>
      </w:r>
    </w:p>
    <w:p>
      <w:pPr>
        <w:pStyle w:val="ab"/>
      </w:pPr>
      <w:r>
        <w:t>对于A股市场的走势预测是什么样的？</w:t>
      </w:r>
    </w:p>
    <w:p>
      <w:r>
        <w:rPr>
          <w:rFonts w:ascii="等线(中文正文)" w:hAnsi="等线(中文正文)" w:cs="等线(中文正文)" w:eastAsia="等线(中文正文)"/>
          <w:b w:val="false"/>
          <w:i w:val="false"/>
          <w:sz w:val="20"/>
        </w:rPr>
        <w:t>发言人1：总体上，A股市场短期呈现上有底下有底的偏震荡状态，总量盈利回升仍是结构性的，海外风险相对可控，国内政策支撑和流动性宽松也对市场形成托底效应。</w:t>
      </w:r>
    </w:p>
    <w:p>
      <w:r>
        <w:rPr>
          <w:rFonts w:ascii="等线(中文正文)" w:hAnsi="等线(中文正文)" w:cs="等线(中文正文)" w:eastAsia="等线(中文正文)"/>
          <w:b w:val="false"/>
          <w:i w:val="false"/>
          <w:sz w:val="20"/>
        </w:rPr>
        <w:t/>
      </w:r>
    </w:p>
    <w:p>
      <w:pPr>
        <w:pStyle w:val="ab"/>
      </w:pPr>
      <w:r>
        <w:t>在当前形势下，哪些行业的表现可能会比较好？</w:t>
      </w:r>
    </w:p>
    <w:p>
      <w:r>
        <w:rPr>
          <w:rFonts w:ascii="等线(中文正文)" w:hAnsi="等线(中文正文)" w:cs="等线(中文正文)" w:eastAsia="等线(中文正文)"/>
          <w:b w:val="false"/>
          <w:i w:val="false"/>
          <w:sz w:val="20"/>
        </w:rPr>
        <w:t>发言人1：行业表现较好的特征通常包括具有较强产业趋势或政策催化以及盈利增速较高的行业。历史经验表明，在超跌反弹后的震荡期，领涨行业往往具有明显的产业趋势驱动作用，例如智能手机产业链、供给侧改革相关的煤炭行业、医美行业、AI产业等。此外，政策催化也对行业表现有显著影响，比如汽车购置税减半政策对汽车行业的影响。同时，绩优行业的表现也可能会较好。</w:t>
      </w:r>
    </w:p>
    <w:p>
      <w:r>
        <w:rPr>
          <w:rFonts w:ascii="等线(中文正文)" w:hAnsi="等线(中文正文)" w:cs="等线(中文正文)" w:eastAsia="等线(中文正文)"/>
          <w:b w:val="false"/>
          <w:i w:val="false"/>
          <w:sz w:val="20"/>
        </w:rPr>
        <w:t/>
      </w:r>
    </w:p>
    <w:p>
      <w:pPr>
        <w:pStyle w:val="ab"/>
      </w:pPr>
      <w:r>
        <w:t>在震荡期中，业绩增速较好的行业是否一定是涨幅靠前的？估值情绪对市场的影响有多大？当前有哪些行业的产业趋势或景气度较高？</w:t>
      </w:r>
    </w:p>
    <w:p>
      <w:r>
        <w:rPr>
          <w:rFonts w:ascii="等线(中文正文)" w:hAnsi="等线(中文正文)" w:cs="等线(中文正文)" w:eastAsia="等线(中文正文)"/>
          <w:b w:val="false"/>
          <w:i w:val="false"/>
          <w:sz w:val="20"/>
        </w:rPr>
        <w:t>发言人1：业绩好的行业通常会是涨幅靠前的，但并非绝对。估值情绪的影响相对有限，并非震荡期估值便宜的行业表现更优。实际上，多数领涨行业的估值历史分位数高于70%，关键还是要看基本面，包括产业趋势和盈利状况。目前产业趋势或景气度较高的主要有两大类行业，一是科技成长，二是有色金属及部分化工新材料周期行业。</w:t>
      </w:r>
    </w:p>
    <w:p>
      <w:r>
        <w:rPr>
          <w:rFonts w:ascii="等线(中文正文)" w:hAnsi="等线(中文正文)" w:cs="等线(中文正文)" w:eastAsia="等线(中文正文)"/>
          <w:b w:val="false"/>
          <w:i w:val="false"/>
          <w:sz w:val="20"/>
        </w:rPr>
        <w:t/>
      </w:r>
    </w:p>
    <w:p>
      <w:pPr>
        <w:pStyle w:val="ab"/>
      </w:pPr>
      <w:r>
        <w:t>科技成长领域的近期催化因素有哪些？</w:t>
      </w:r>
    </w:p>
    <w:p>
      <w:r>
        <w:rPr>
          <w:rFonts w:ascii="等线(中文正文)" w:hAnsi="等线(中文正文)" w:cs="等线(中文正文)" w:eastAsia="等线(中文正文)"/>
          <w:b w:val="false"/>
          <w:i w:val="false"/>
          <w:sz w:val="20"/>
        </w:rPr>
        <w:t>发言人1：近期科技成长领域有多个产业和政策催化，例如国产生成招标、深圳人工智能博览会、光博会以及中国算力大会等。此外，还有硬件、创新药、机器人、商业等多个行业也有密集的产业或景气催化事件。</w:t>
      </w:r>
    </w:p>
    <w:p>
      <w:r>
        <w:rPr>
          <w:rFonts w:ascii="等线(中文正文)" w:hAnsi="等线(中文正文)" w:cs="等线(中文正文)" w:eastAsia="等线(中文正文)"/>
          <w:b w:val="false"/>
          <w:i w:val="false"/>
          <w:sz w:val="20"/>
        </w:rPr>
        <w:t/>
      </w:r>
    </w:p>
    <w:p>
      <w:pPr>
        <w:pStyle w:val="ab"/>
      </w:pPr>
      <w:r>
        <w:t>有色金属和化工新材料景气度高的原因是什么？</w:t>
      </w:r>
    </w:p>
    <w:p>
      <w:r>
        <w:rPr>
          <w:rFonts w:ascii="等线(中文正文)" w:hAnsi="等线(中文正文)" w:cs="等线(中文正文)" w:eastAsia="等线(中文正文)"/>
          <w:b w:val="false"/>
          <w:i w:val="false"/>
          <w:sz w:val="20"/>
        </w:rPr>
        <w:t>发言人1：有色金属和化工新材料景气度高的主要原因在于价格上升，这主要受AI需求和宏观环境政策影响，比如近期美债危机导致美元走弱，使得贵金属表现强劲。</w:t>
      </w:r>
    </w:p>
    <w:p>
      <w:r>
        <w:rPr>
          <w:rFonts w:ascii="等线(中文正文)" w:hAnsi="等线(中文正文)" w:cs="等线(中文正文)" w:eastAsia="等线(中文正文)"/>
          <w:b w:val="false"/>
          <w:i w:val="false"/>
          <w:sz w:val="20"/>
        </w:rPr>
        <w:t/>
      </w:r>
    </w:p>
    <w:p>
      <w:pPr>
        <w:pStyle w:val="ab"/>
      </w:pPr>
      <w:r>
        <w:t>政策方面对行业的影响是什么？</w:t>
      </w:r>
    </w:p>
    <w:p>
      <w:r>
        <w:rPr>
          <w:rFonts w:ascii="等线(中文正文)" w:hAnsi="等线(中文正文)" w:cs="等线(中文正文)" w:eastAsia="等线(中文正文)"/>
          <w:b w:val="false"/>
          <w:i w:val="false"/>
          <w:sz w:val="20"/>
        </w:rPr>
        <w:t>发言人1：政策方面集中点在于科技和基建上，如落实七月份政治局会议政策定调，推进新型基础设施建设（如6张网建设和全国算力基础设施建设行动方案）以及传统周期行业（煤炭石化）的十五五规划，这些都有一定的托底作用，同时对消费也有提升，但消费景气度相对较弱。</w:t>
      </w:r>
    </w:p>
    <w:p>
      <w:r>
        <w:rPr>
          <w:rFonts w:ascii="等线(中文正文)" w:hAnsi="等线(中文正文)" w:cs="等线(中文正文)" w:eastAsia="等线(中文正文)"/>
          <w:b w:val="false"/>
          <w:i w:val="false"/>
          <w:sz w:val="20"/>
        </w:rPr>
        <w:t/>
      </w:r>
    </w:p>
    <w:p>
      <w:pPr>
        <w:pStyle w:val="ab"/>
      </w:pPr>
      <w:r>
        <w:t>从业绩角度看，哪些行业的表现会比较好？</w:t>
      </w:r>
    </w:p>
    <w:p>
      <w:r>
        <w:rPr>
          <w:rFonts w:ascii="等线(中文正文)" w:hAnsi="等线(中文正文)" w:cs="等线(中文正文)" w:eastAsia="等线(中文正文)"/>
          <w:b w:val="false"/>
          <w:i w:val="false"/>
          <w:sz w:val="20"/>
        </w:rPr>
        <w:t>发言人1：从工业企业利润增速和已披露中报的盈利增速来看，有色金属、基础化工（除传媒）、石化和电力设备等行业表现较好，总体上还是集中在科技成长和部分周期行业。</w:t>
      </w:r>
    </w:p>
    <w:p>
      <w:r>
        <w:rPr>
          <w:rFonts w:ascii="等线(中文正文)" w:hAnsi="等线(中文正文)" w:cs="等线(中文正文)" w:eastAsia="等线(中文正文)"/>
          <w:b w:val="false"/>
          <w:i w:val="false"/>
          <w:sz w:val="20"/>
        </w:rPr>
        <w:t/>
      </w:r>
    </w:p>
    <w:p>
      <w:pPr>
        <w:pStyle w:val="ab"/>
      </w:pPr>
      <w:r>
        <w:t>对于短周期行业的配置观点是怎样的？</w:t>
      </w:r>
    </w:p>
    <w:p>
      <w:r>
        <w:rPr>
          <w:rFonts w:ascii="等线(中文正文)" w:hAnsi="等线(中文正文)" w:cs="等线(中文正文)" w:eastAsia="等线(中文正文)"/>
          <w:b w:val="false"/>
          <w:i w:val="false"/>
          <w:sz w:val="20"/>
        </w:rPr>
        <w:t>发言人1：在震荡期，建议配置具有产业趋势、政策支持和盈利增长的行业，主要包括电子、通信、计算机等科技成长方向，以及半导体、AI硬件、AI应用等科技细分领域，还有有色金属中的小金属、贵金属、化工新材料以及电器中的锂电等偏周期行业。同时，创新药和商业航天等领域也有配置机会，最后推荐低估值蓝筹消费等行业。</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2026-08-23T14:14:42Z</dcterms:created>
  <dc:creator>Apache POI</dc:creator>
</cp:coreProperties>
</file>