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华创宏观 - 四重拐点的交织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盈利 估值 政策 经济循环 居民存款 企业存款 社融 PPI 下行波动率 风险偏好 出口 制造业 上证综指 经济复苏 经济周期 基本面 股债 供需变化 煤炭 原油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讨论深入剖析了经济领域内多个关键议题，涉及市场分析、政策展望、股债市场动态以及特定行业和市场的详细探讨。市场分析聚焦于盈利基本面、估值、政策及股债市场状态，指出企业存款与居民存款增速差异作为经济循环领先指标的重要性，当前指标处于六年次高位，预示经济可能接近周期顶部。政策讨论强调可能的小幅度调整，旨在温和对冲经济下行风险，而非大规模刺激。股债市场分析显示股债天平回归中立，反映市场平衡及对未来盈利与估值的看法。经济运行分析覆盖居民存款、政府债、货币政策、进出口等多维度因素，探讨其综合影响。行业和市场特别议题包括银行业、人民币汇率、煤炭供应、原油库存及政策性金融工具，反映了市场预期、政策导向及行业动态。整体上，对话揭示了经济形势的复杂性，为投资决策和政策制定提供了深入洞见。</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四重拐点下的经济周期分析</w:t>
      </w:r>
    </w:p>
    <w:p>
      <w:r>
        <w:rPr>
          <w:rFonts w:ascii="等线(中文正文)" w:hAnsi="等线(中文正文)" w:cs="等线(中文正文)" w:eastAsia="等线(中文正文)"/>
          <w:b w:val="false"/>
          <w:i w:val="false"/>
          <w:sz w:val="20"/>
        </w:rPr>
        <w:t>讨论了估值、盈利、政策和股债关系四个拐点，特别是经济循环指标达到六年次高位，居民贷款拉动社融转负，财政扩张不足，预示经济可能面临顶部压力，未来PPI和净利润增速或转负。</w:t>
      </w:r>
    </w:p>
    <w:p>
      <w:r>
        <w:rPr>
          <w:rFonts w:ascii="等线(中文正文)" w:hAnsi="等线(中文正文)" w:cs="等线(中文正文)" w:eastAsia="等线(中文正文)"/>
          <w:b w:val="false"/>
          <w:i w:val="false"/>
          <w:sz w:val="20"/>
        </w:rPr>
        <w:t/>
      </w:r>
    </w:p>
    <w:p>
      <w:pPr>
        <w:pStyle w:val="ab"/>
        <w:numPr>
          <w:numId w:val="2"/>
        </w:numPr>
      </w:pPr>
      <w:r>
        <w:t>04:56 估值与盈利分析：下半年市场逻辑或将切换</w:t>
      </w:r>
    </w:p>
    <w:p>
      <w:r>
        <w:rPr>
          <w:rFonts w:ascii="等线(中文正文)" w:hAnsi="等线(中文正文)" w:cs="等线(中文正文)" w:eastAsia="等线(中文正文)"/>
          <w:b w:val="false"/>
          <w:i w:val="false"/>
          <w:sz w:val="20"/>
        </w:rPr>
        <w:t>对话讨论了市场估值与盈利的关系，指出当前居民存款活化已至低位，对应万德权益市净率可能进入顶部区间，预示着估值提升逻辑可能结束。下半年市场可能从估值提升转向基本面盈利更重要的逻辑，即盈利仍可向上，但估值增长空间有限，市场逻辑将发生切换。</w:t>
      </w:r>
    </w:p>
    <w:p>
      <w:r>
        <w:rPr>
          <w:rFonts w:ascii="等线(中文正文)" w:hAnsi="等线(中文正文)" w:cs="等线(中文正文)" w:eastAsia="等线(中文正文)"/>
          <w:b w:val="false"/>
          <w:i w:val="false"/>
          <w:sz w:val="20"/>
        </w:rPr>
        <w:t/>
      </w:r>
    </w:p>
    <w:p>
      <w:pPr>
        <w:pStyle w:val="ab"/>
        <w:numPr>
          <w:numId w:val="3"/>
        </w:numPr>
      </w:pPr>
      <w:r>
        <w:t>07:56 政策拐点与经济运行差异分析</w:t>
      </w:r>
    </w:p>
    <w:p>
      <w:r>
        <w:rPr>
          <w:rFonts w:ascii="等线(中文正文)" w:hAnsi="等线(中文正文)" w:cs="等线(中文正文)" w:eastAsia="等线(中文正文)"/>
          <w:b w:val="false"/>
          <w:i w:val="false"/>
          <w:sz w:val="20"/>
        </w:rPr>
        <w:t>对话探讨了当前经济状况与历史大熊市的差异，指出当前经济运行最好部分为高新机电出口，具备良好显性度，因此未出现大熊市。关于政策，认为存在小拐点，但大刺激政策需谨慎判断，政策更多是温和对冲而非扭转趋势。定性与定量分析显示，出口与制造业加权增速稳定，中美关系缓和，债务问题需关注。</w:t>
      </w:r>
    </w:p>
    <w:p>
      <w:r>
        <w:rPr>
          <w:rFonts w:ascii="等线(中文正文)" w:hAnsi="等线(中文正文)" w:cs="等线(中文正文)" w:eastAsia="等线(中文正文)"/>
          <w:b w:val="false"/>
          <w:i w:val="false"/>
          <w:sz w:val="20"/>
        </w:rPr>
        <w:t/>
      </w:r>
    </w:p>
    <w:p>
      <w:pPr>
        <w:pStyle w:val="ab"/>
        <w:numPr>
          <w:numId w:val="4"/>
        </w:numPr>
      </w:pPr>
      <w:r>
        <w:t>10:51 股债资产性价比评估与市场周期分析</w:t>
      </w:r>
    </w:p>
    <w:p>
      <w:r>
        <w:rPr>
          <w:rFonts w:ascii="等线(中文正文)" w:hAnsi="等线(中文正文)" w:cs="等线(中文正文)" w:eastAsia="等线(中文正文)"/>
          <w:b w:val="false"/>
          <w:i w:val="false"/>
          <w:sz w:val="20"/>
        </w:rPr>
        <w:t>从2025年6月起，股票配置价值被看多，但近期股债性价比差值回归中立位，表明股票波动率放大，债券波动率偏低，两资产均处于中性状态。当前经济周期处于下行阶段，股债操作面临困境，下半年市场将更加回归基本面，需对国内资产再平衡配置进行考量，重视基本面和防守视角。</w:t>
      </w:r>
    </w:p>
    <w:p>
      <w:r>
        <w:rPr>
          <w:rFonts w:ascii="等线(中文正文)" w:hAnsi="等线(中文正文)" w:cs="等线(中文正文)" w:eastAsia="等线(中文正文)"/>
          <w:b w:val="false"/>
          <w:i w:val="false"/>
          <w:sz w:val="20"/>
        </w:rPr>
        <w:t/>
      </w:r>
    </w:p>
    <w:p>
      <w:pPr>
        <w:pStyle w:val="ab"/>
        <w:numPr>
          <w:numId w:val="5"/>
        </w:numPr>
      </w:pPr>
      <w:r>
        <w:t>16:43 经济供需变化与结构优化探讨</w:t>
      </w:r>
    </w:p>
    <w:p>
      <w:r>
        <w:rPr>
          <w:rFonts w:ascii="等线(中文正文)" w:hAnsi="等线(中文正文)" w:cs="等线(中文正文)" w:eastAsia="等线(中文正文)"/>
          <w:b w:val="false"/>
          <w:i w:val="false"/>
          <w:sz w:val="20"/>
        </w:rPr>
        <w:t>对话深入分析了经济中供需变化的现状与趋势，指出供给端受原油进口减少、煤炭生产下滑及天气影响导致生产降速，需求端则呈现缩圈迹象，尤其在地产和投资领域。尽管如此，出口保持强劲，中游制造业成为结构优化的亮点，建议关注其发展潜力。</w:t>
      </w:r>
    </w:p>
    <w:p>
      <w:r>
        <w:rPr>
          <w:rFonts w:ascii="等线(中文正文)" w:hAnsi="等线(中文正文)" w:cs="等线(中文正文)" w:eastAsia="等线(中文正文)"/>
          <w:b w:val="false"/>
          <w:i w:val="false"/>
          <w:sz w:val="20"/>
        </w:rPr>
        <w:t/>
      </w:r>
    </w:p>
    <w:p>
      <w:pPr>
        <w:pStyle w:val="ab"/>
        <w:numPr>
          <w:numId w:val="6"/>
        </w:numPr>
      </w:pPr>
      <w:r>
        <w:t>21:18 金融数据与预期变化分析</w:t>
      </w:r>
    </w:p>
    <w:p>
      <w:r>
        <w:rPr>
          <w:rFonts w:ascii="等线(中文正文)" w:hAnsi="等线(中文正文)" w:cs="等线(中文正文)" w:eastAsia="等线(中文正文)"/>
          <w:b w:val="false"/>
          <w:i w:val="false"/>
          <w:sz w:val="20"/>
        </w:rPr>
        <w:t>对话围绕金融数据及其预期变化展开，强调了海外信用扩张对国内经济的影响。指出存款在不同部门的分布反映了经济循环的不同环节，企业存款增加利于实体经济，金融机构存款增加则活跃金融市场，而居民存款增加则信号预期转弱。7月份数据首次显示非金融企业和非银存款同比差额转负，归因于居民提前还款和存款搬家行为，反映经济活动放缓。</w:t>
      </w:r>
    </w:p>
    <w:p>
      <w:r>
        <w:rPr>
          <w:rFonts w:ascii="等线(中文正文)" w:hAnsi="等线(中文正文)" w:cs="等线(中文正文)" w:eastAsia="等线(中文正文)"/>
          <w:b w:val="false"/>
          <w:i w:val="false"/>
          <w:sz w:val="20"/>
        </w:rPr>
        <w:t/>
      </w:r>
    </w:p>
    <w:p>
      <w:pPr>
        <w:pStyle w:val="ab"/>
        <w:numPr>
          <w:numId w:val="7"/>
        </w:numPr>
      </w:pPr>
      <w:r>
        <w:t>23:53 居民贷款行为与M2增长趋势分析</w:t>
      </w:r>
    </w:p>
    <w:p>
      <w:r>
        <w:rPr>
          <w:rFonts w:ascii="等线(中文正文)" w:hAnsi="等线(中文正文)" w:cs="等线(中文正文)" w:eastAsia="等线(中文正文)"/>
          <w:b w:val="false"/>
          <w:i w:val="false"/>
          <w:sz w:val="20"/>
        </w:rPr>
        <w:t>上半年，居民加速偿还个人住房贷款，非住房消费贷款连续三个季度负增长，同时居民存款少增，资金更多流向金融市场。进入七月，贷款持续疲软，但居民存款首次同比转正，表明存款搬家趋势放缓。M2增长偏弱，主要受居民贷款收缩和政府债发行速率慢、银行购买政府债减少的影响，导致货币派生能力下降。</w:t>
      </w:r>
    </w:p>
    <w:p>
      <w:r>
        <w:rPr>
          <w:rFonts w:ascii="等线(中文正文)" w:hAnsi="等线(中文正文)" w:cs="等线(中文正文)" w:eastAsia="等线(中文正文)"/>
          <w:b w:val="false"/>
          <w:i w:val="false"/>
          <w:sz w:val="20"/>
        </w:rPr>
        <w:t/>
      </w:r>
    </w:p>
    <w:p>
      <w:pPr>
        <w:pStyle w:val="ab"/>
        <w:numPr>
          <w:numId w:val="8"/>
        </w:numPr>
      </w:pPr>
      <w:r>
        <w:t>27:10 市场压力指标与日元汇率干预分析</w:t>
      </w:r>
    </w:p>
    <w:p>
      <w:r>
        <w:rPr>
          <w:rFonts w:ascii="等线(中文正文)" w:hAnsi="等线(中文正文)" w:cs="等线(中文正文)" w:eastAsia="等线(中文正文)"/>
          <w:b w:val="false"/>
          <w:i w:val="false"/>
          <w:sz w:val="20"/>
        </w:rPr>
        <w:t>报告分析了企业居民存款剪刀差和居民新增存款占新增M2比重两个指标，指出七月份以来指标回落，市场风险增强，利润预期转弱。同时，报告还讨论了近期美日联合干预日元汇率的两点不同：一是美国首次直接抛售日元，二是干预前日本离岸美元流动性健康，未出现流动性收紧。</w:t>
      </w:r>
    </w:p>
    <w:p>
      <w:r>
        <w:rPr>
          <w:rFonts w:ascii="等线(中文正文)" w:hAnsi="等线(中文正文)" w:cs="等线(中文正文)" w:eastAsia="等线(中文正文)"/>
          <w:b w:val="false"/>
          <w:i w:val="false"/>
          <w:sz w:val="20"/>
        </w:rPr>
        <w:t/>
      </w:r>
    </w:p>
    <w:p>
      <w:pPr>
        <w:pStyle w:val="ab"/>
        <w:numPr>
          <w:numId w:val="9"/>
        </w:numPr>
      </w:pPr>
      <w:r>
        <w:t>31:52 日元贬值与美债抛售风险及汇率干预策略</w:t>
      </w:r>
    </w:p>
    <w:p>
      <w:r>
        <w:rPr>
          <w:rFonts w:ascii="等线(中文正文)" w:hAnsi="等线(中文正文)" w:cs="等线(中文正文)" w:eastAsia="等线(中文正文)"/>
          <w:b w:val="false"/>
          <w:i w:val="false"/>
          <w:sz w:val="20"/>
        </w:rPr>
        <w:t>对话讨论了日本通过美联储外国和国际货币当局回购便利工具干预日元汇率，以避免美债市场抛售压力；日元贬值并非套期交易所致，而是因日本经济滞胀和财政付息压力限制了日央行加息能力；美国担忧日本抛售美债引发市场波动，故联手干预汇率，维持金融市场稳定。</w:t>
      </w:r>
    </w:p>
    <w:p>
      <w:r>
        <w:rPr>
          <w:rFonts w:ascii="等线(中文正文)" w:hAnsi="等线(中文正文)" w:cs="等线(中文正文)" w:eastAsia="等线(中文正文)"/>
          <w:b w:val="false"/>
          <w:i w:val="false"/>
          <w:sz w:val="20"/>
        </w:rPr>
        <w:t/>
      </w:r>
    </w:p>
    <w:p>
      <w:pPr>
        <w:pStyle w:val="ab"/>
        <w:numPr>
          <w:numId w:val="10"/>
        </w:numPr>
      </w:pPr>
      <w:r>
        <w:t>37:01 全球原油库存变化与石油运输受阻分析</w:t>
      </w:r>
    </w:p>
    <w:p>
      <w:r>
        <w:rPr>
          <w:rFonts w:ascii="等线(中文正文)" w:hAnsi="等线(中文正文)" w:cs="等线(中文正文)" w:eastAsia="等线(中文正文)"/>
          <w:b w:val="false"/>
          <w:i w:val="false"/>
          <w:sz w:val="20"/>
        </w:rPr>
        <w:t>对话讨论了全球原油库存的不正常变化，包括全球库存减少、美国战略库存下降、OECD国家商业库存下滑以及中国库存偏高。此外，还提到水上库存处于高位，可能因运输受阻而被暂时锁住，未来若运输恢复正常，可能阶段性增加库存压力。整体库存虽下降但较过去五年仍高出两成，各区域库存变化不均衡。</w:t>
      </w:r>
    </w:p>
    <w:p>
      <w:r>
        <w:rPr>
          <w:rFonts w:ascii="等线(中文正文)" w:hAnsi="等线(中文正文)" w:cs="等线(中文正文)" w:eastAsia="等线(中文正文)"/>
          <w:b w:val="false"/>
          <w:i w:val="false"/>
          <w:sz w:val="20"/>
        </w:rPr>
        <w:t/>
      </w:r>
    </w:p>
    <w:p>
      <w:pPr>
        <w:pStyle w:val="ab"/>
        <w:numPr>
          <w:numId w:val="11"/>
        </w:numPr>
      </w:pPr>
      <w:r>
        <w:t>42:07 下半年财政供给压力与支出提速分析</w:t>
      </w:r>
    </w:p>
    <w:p>
      <w:r>
        <w:rPr>
          <w:rFonts w:ascii="等线(中文正文)" w:hAnsi="等线(中文正文)" w:cs="等线(中文正文)" w:eastAsia="等线(中文正文)"/>
          <w:b w:val="false"/>
          <w:i w:val="false"/>
          <w:sz w:val="20"/>
        </w:rPr>
        <w:t>报告分析了下半年财政的两大关注点：一是政府债供给压力，指出未来四个月每月同比增量约为3000到4000亿，规模虽大但小于2020年和2023年同期；二是财政支出提速，预测下半年财政支出将有反弹，但难以达到2024年下半年的高水平，预计增速在2%到5%之间。</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他深入分析了当前宏观经济情况，提出了四重拐点的概念，涉及估值、盈利、政策以及股债市场。他指出，从盈利基本面看，企业与居民存款增速差值接近六年次高，预示经济可能已至顶部区间。政策方面，虽有潜在小拐点，旨在温和对冲经济下行，但不期待大规模刺激。在股债市场，股票波动率上升降低了其吸引力，债券和股票的性价比回归中立。此次发言全面探讨了投资者心理、政策动向、市场流动性和宏观经济指标，为投资者提供了市场趋势和未来投资方向的见解。</w:t>
      </w:r>
    </w:p>
    <w:p>
      <w:r>
        <w:rPr>
          <w:rFonts w:ascii="等线(中文正文)" w:hAnsi="等线(中文正文)" w:cs="等线(中文正文)" w:eastAsia="等线(中文正文)"/>
          <w:b w:val="false"/>
          <w:i w:val="false"/>
          <w:sz w:val="20"/>
        </w:rPr>
        <w:t/>
      </w:r>
    </w:p>
    <w:p>
      <w:pPr>
        <w:pStyle w:val="a7"/>
      </w:pPr>
      <w:r>
        <w:t>要点回顾</w:t>
      </w:r>
    </w:p>
    <w:p>
      <w:pPr>
        <w:pStyle w:val="ab"/>
      </w:pPr>
      <w:r>
        <w:t>在当前市场环境下，为什么需要探讨盈利基本面的问题？目前这个领先指标的位置意味着什么？</w:t>
      </w:r>
    </w:p>
    <w:p>
      <w:r>
        <w:rPr>
          <w:rFonts w:ascii="等线(中文正文)" w:hAnsi="等线(中文正文)" w:cs="等线(中文正文)" w:eastAsia="等线(中文正文)"/>
          <w:b w:val="false"/>
          <w:i w:val="false"/>
          <w:sz w:val="20"/>
        </w:rPr>
        <w:t>发言人1：我们团队自2023年以来强调领先指标体现在存款而非贷款中，因此我们构建了企业存款同比增速与居民存款同比增速的差值作为经济循环领先的指标体系，并发现该指标领先于PMI、进口型M1、万德全A净利润增速以及PPI等重要经济数据。目前这个领先指标已经修复到接近过去六年的次高位，表明经济循环在政策助力和居民存款活化的影响下持续改善。目前该指标接近六年来的次高位，仅略低于2020年四季度的峰值（当时经济过热）。如果经济循环在此水平上还能继续向上，可能会接近或达到顶部区间，但要实现进一步显著改善，需要看到更强的佐证性经济指标。</w:t>
      </w:r>
    </w:p>
    <w:p>
      <w:r>
        <w:rPr>
          <w:rFonts w:ascii="等线(中文正文)" w:hAnsi="等线(中文正文)" w:cs="等线(中文正文)" w:eastAsia="等线(中文正文)"/>
          <w:b w:val="false"/>
          <w:i w:val="false"/>
          <w:sz w:val="20"/>
        </w:rPr>
        <w:t/>
      </w:r>
    </w:p>
    <w:p>
      <w:pPr>
        <w:pStyle w:val="ab"/>
      </w:pPr>
      <w:r>
        <w:t>当前有哪些可能影响经济循环改善的佐证型指标？</w:t>
      </w:r>
    </w:p>
    <w:p>
      <w:r>
        <w:rPr>
          <w:rFonts w:ascii="等线(中文正文)" w:hAnsi="等线(中文正文)" w:cs="等线(中文正文)" w:eastAsia="等线(中文正文)"/>
          <w:b w:val="false"/>
          <w:i w:val="false"/>
          <w:sz w:val="20"/>
        </w:rPr>
        <w:t>发言人1：目前尚未看到足以证明经济循环明显改善的佐证指标。例如，二季度居民加速缩表，经营贷款、个人住房按揭及非住房消费贷三大类贷款年化增长率均呈现负值或仅消费贷为正，且对社融增速的拉动为负。同时，政府债对社融的拉动也未有效提升。</w:t>
      </w:r>
    </w:p>
    <w:p>
      <w:r>
        <w:rPr>
          <w:rFonts w:ascii="等线(中文正文)" w:hAnsi="等线(中文正文)" w:cs="等线(中文正文)" w:eastAsia="等线(中文正文)"/>
          <w:b w:val="false"/>
          <w:i w:val="false"/>
          <w:sz w:val="20"/>
        </w:rPr>
        <w:t/>
      </w:r>
    </w:p>
    <w:p>
      <w:pPr>
        <w:pStyle w:val="ab"/>
      </w:pPr>
      <w:r>
        <w:t>居民存款活化程度对估值有何影响？从盈利和估值两个方面看，是否存在拐点现象？</w:t>
      </w:r>
    </w:p>
    <w:p>
      <w:r>
        <w:rPr>
          <w:rFonts w:ascii="等线(中文正文)" w:hAnsi="等线(中文正文)" w:cs="等线(中文正文)" w:eastAsia="等线(中文正文)"/>
          <w:b w:val="false"/>
          <w:i w:val="false"/>
          <w:sz w:val="20"/>
        </w:rPr>
        <w:t>发言人1：居民存款活化对估值具有同步影响。当新增M2中居民存款占比越高时，经济循环减弱，市净率通常会下降，反映在低估值和可能的通缩压力上。反之，若居民存款占新增M2比重下降，表明经济活跃度提升，市场流动性充裕，市净率会上升，从而推动估值提升。对于盈利方面，领先指标显示2027年二季度之后可能存在不确定性，但在未来三四个季度内依然相对乐观。而对于估值，居民存款活化程度已到达一个阶段性的观察点，新增M2中居民存款占比的下降似乎预示着市场风险偏好提升和估值可能进入顶部区间。</w:t>
      </w:r>
    </w:p>
    <w:p>
      <w:r>
        <w:rPr>
          <w:rFonts w:ascii="等线(中文正文)" w:hAnsi="等线(中文正文)" w:cs="等线(中文正文)" w:eastAsia="等线(中文正文)"/>
          <w:b w:val="false"/>
          <w:i w:val="false"/>
          <w:sz w:val="20"/>
        </w:rPr>
        <w:t/>
      </w:r>
    </w:p>
    <w:p>
      <w:pPr>
        <w:pStyle w:val="ab"/>
      </w:pPr>
      <w:r>
        <w:t>他们俩结合在一起说明了什么关于下半年盈利的情况？</w:t>
      </w:r>
    </w:p>
    <w:p>
      <w:r>
        <w:rPr>
          <w:rFonts w:ascii="等线(中文正文)" w:hAnsi="等线(中文正文)" w:cs="等线(中文正文)" w:eastAsia="等线(中文正文)"/>
          <w:b w:val="false"/>
          <w:i w:val="false"/>
          <w:sz w:val="20"/>
        </w:rPr>
        <w:t>发言人1：结合在一起表明下半年盈利可能不再依赖估值提升流动性逻辑，而是转向基本面盈利更重要的逻辑，即从估值转向盈利成为主导。</w:t>
      </w:r>
    </w:p>
    <w:p>
      <w:r>
        <w:rPr>
          <w:rFonts w:ascii="等线(中文正文)" w:hAnsi="等线(中文正文)" w:cs="等线(中文正文)" w:eastAsia="等线(中文正文)"/>
          <w:b w:val="false"/>
          <w:i w:val="false"/>
          <w:sz w:val="20"/>
        </w:rPr>
        <w:t/>
      </w:r>
    </w:p>
    <w:p>
      <w:pPr>
        <w:pStyle w:val="ab"/>
      </w:pPr>
      <w:r>
        <w:t>当前是否会出现类似2022年的大熊市？</w:t>
      </w:r>
    </w:p>
    <w:p>
      <w:r>
        <w:rPr>
          <w:rFonts w:ascii="等线(中文正文)" w:hAnsi="等线(中文正文)" w:cs="等线(中文正文)" w:eastAsia="等线(中文正文)"/>
          <w:b w:val="false"/>
          <w:i w:val="false"/>
          <w:sz w:val="20"/>
        </w:rPr>
        <w:t>发言人1：不会出现类似2022年的大熊市，因为当前经济运行中增速需求最好的部分是出口，尤其是高新机电出口。这部分在上市公司利润中有较高显性度，因此利润压力相对较小。</w:t>
      </w:r>
    </w:p>
    <w:p>
      <w:r>
        <w:rPr>
          <w:rFonts w:ascii="等线(中文正文)" w:hAnsi="等线(中文正文)" w:cs="等线(中文正文)" w:eastAsia="等线(中文正文)"/>
          <w:b w:val="false"/>
          <w:i w:val="false"/>
          <w:sz w:val="20"/>
        </w:rPr>
        <w:t/>
      </w:r>
    </w:p>
    <w:p>
      <w:pPr>
        <w:pStyle w:val="ab"/>
      </w:pPr>
      <w:r>
        <w:t>政策是否到了拐点？</w:t>
      </w:r>
    </w:p>
    <w:p>
      <w:r>
        <w:rPr>
          <w:rFonts w:ascii="等线(中文正文)" w:hAnsi="等线(中文正文)" w:cs="等线(中文正文)" w:eastAsia="等线(中文正文)"/>
          <w:b w:val="false"/>
          <w:i w:val="false"/>
          <w:sz w:val="20"/>
        </w:rPr>
        <w:t>发言人1：政策可能存在小拐点，表现为适度兜底型政策，发挥存量政策效应，并加快落地尚未运用完的政策以及增量政策以促进经济循环。但不会有如2024年926那样的大刺激级别大拐点。</w:t>
      </w:r>
    </w:p>
    <w:p>
      <w:r>
        <w:rPr>
          <w:rFonts w:ascii="等线(中文正文)" w:hAnsi="等线(中文正文)" w:cs="等线(中文正文)" w:eastAsia="等线(中文正文)"/>
          <w:b w:val="false"/>
          <w:i w:val="false"/>
          <w:sz w:val="20"/>
        </w:rPr>
        <w:t/>
      </w:r>
    </w:p>
    <w:p>
      <w:pPr>
        <w:pStyle w:val="ab"/>
      </w:pPr>
      <w:r>
        <w:t>出口对政府干预的情况如何？</w:t>
      </w:r>
    </w:p>
    <w:p>
      <w:r>
        <w:rPr>
          <w:rFonts w:ascii="等线(中文正文)" w:hAnsi="等线(中文正文)" w:cs="等线(中文正文)" w:eastAsia="等线(中文正文)"/>
          <w:b w:val="false"/>
          <w:i w:val="false"/>
          <w:sz w:val="20"/>
        </w:rPr>
        <w:t>发言人1：出口作为政府较难干预的原生需求类需求，在疫情后保持正增长，至今未转负。同时，出口顺差且利润率高，中美关系缓和，还有访美等因素，导致触发大规模经济刺激政策的条件不满足。</w:t>
      </w:r>
    </w:p>
    <w:p>
      <w:r>
        <w:rPr>
          <w:rFonts w:ascii="等线(中文正文)" w:hAnsi="等线(中文正文)" w:cs="等线(中文正文)" w:eastAsia="等线(中文正文)"/>
          <w:b w:val="false"/>
          <w:i w:val="false"/>
          <w:sz w:val="20"/>
        </w:rPr>
        <w:t/>
      </w:r>
    </w:p>
    <w:p>
      <w:pPr>
        <w:pStyle w:val="ab"/>
      </w:pPr>
      <w:r>
        <w:t>对于股债大类资产的判断有何看法？</w:t>
      </w:r>
    </w:p>
    <w:p>
      <w:r>
        <w:rPr>
          <w:rFonts w:ascii="等线(中文正文)" w:hAnsi="等线(中文正文)" w:cs="等线(中文正文)" w:eastAsia="等线(中文正文)"/>
          <w:b w:val="false"/>
          <w:i w:val="false"/>
          <w:sz w:val="20"/>
        </w:rPr>
        <w:t>发言人1：股债大类资产目前处于关键时间点，需要重新评估性价比。自2025年6月以来，股票配置价值逐渐显现，股票下浮比率相较于债券开始占据优势。然而，最近一个月由于股票波动率放大，股债性价比回归中立位，即股票和债券的性价比都较为中性，不再倾向于任何一方。在经济周期中，两端（过热和衰退）对投资更为有利，而目前股债资产均不具备特别突出的配置价值。</w:t>
      </w:r>
    </w:p>
    <w:p>
      <w:r>
        <w:rPr>
          <w:rFonts w:ascii="等线(中文正文)" w:hAnsi="等线(中文正文)" w:cs="等线(中文正文)" w:eastAsia="等线(中文正文)"/>
          <w:b w:val="false"/>
          <w:i w:val="false"/>
          <w:sz w:val="20"/>
        </w:rPr>
        <w:t/>
      </w:r>
    </w:p>
    <w:p>
      <w:pPr>
        <w:pStyle w:val="ab"/>
      </w:pPr>
      <w:r>
        <w:t>在经济下行阶段，为什么市场对政策的着力点和拐点探讨很重要？</w:t>
      </w:r>
    </w:p>
    <w:p>
      <w:r>
        <w:rPr>
          <w:rFonts w:ascii="等线(中文正文)" w:hAnsi="等线(中文正文)" w:cs="等线(中文正文)" w:eastAsia="等线(中文正文)"/>
          <w:b w:val="false"/>
          <w:i w:val="false"/>
          <w:sz w:val="20"/>
        </w:rPr>
        <w:t>发言人1：在经济下行时，由于价格有粘性但基本面量的指标开始变弱，若无明确的大政策支持，仅靠市场自身修复可能需要较长时间。当前股债市场处于低位，经济周期也经历了两年改善到达顶部区间，进一步改善需要较强政策触发。因此，对盈利、估值、政策以及股债思维的拐点进行复杂探讨，并总结下半年投资为“股债天平回归中立位，估值增速放缓，盈利维持不错”，这是基于对基本面变化和资产配置的考虑。</w:t>
      </w:r>
    </w:p>
    <w:p>
      <w:r>
        <w:rPr>
          <w:rFonts w:ascii="等线(中文正文)" w:hAnsi="等线(中文正文)" w:cs="等线(中文正文)" w:eastAsia="等线(中文正文)"/>
          <w:b w:val="false"/>
          <w:i w:val="false"/>
          <w:sz w:val="20"/>
        </w:rPr>
        <w:t/>
      </w:r>
    </w:p>
    <w:p>
      <w:pPr>
        <w:pStyle w:val="ab"/>
      </w:pPr>
      <w:r>
        <w:t>下半年股债市场的操作难点是什么？</w:t>
      </w:r>
    </w:p>
    <w:p>
      <w:r>
        <w:rPr>
          <w:rFonts w:ascii="等线(中文正文)" w:hAnsi="等线(中文正文)" w:cs="等线(中文正文)" w:eastAsia="等线(中文正文)"/>
          <w:b w:val="false"/>
          <w:i w:val="false"/>
          <w:sz w:val="20"/>
        </w:rPr>
        <w:t>发言人1：下半年股债市场回归中立配置，估值增速相比上半年会明显降速，盈利仍可维持不错。此时，操作难点在于如何在过热与衰退之间的政策修复阶段，对基本面给予更多重视，并进行持仓结构的再平衡和防守策略制定。同时，两个资产回归基本面时面临的操作困境也需更多考量。</w:t>
      </w:r>
    </w:p>
    <w:p>
      <w:r>
        <w:rPr>
          <w:rFonts w:ascii="等线(中文正文)" w:hAnsi="等线(中文正文)" w:cs="等线(中文正文)" w:eastAsia="等线(中文正文)"/>
          <w:b w:val="false"/>
          <w:i w:val="false"/>
          <w:sz w:val="20"/>
        </w:rPr>
        <w:t/>
      </w:r>
    </w:p>
    <w:p>
      <w:pPr>
        <w:pStyle w:val="ab"/>
      </w:pPr>
      <w:r>
        <w:t>经济供需变化中有哪些主要因素影响了7月份的数据表现？需求端的变化情况如何？</w:t>
      </w:r>
    </w:p>
    <w:p>
      <w:r>
        <w:rPr>
          <w:rFonts w:ascii="等线(中文正文)" w:hAnsi="等线(中文正文)" w:cs="等线(中文正文)" w:eastAsia="等线(中文正文)"/>
          <w:b w:val="false"/>
          <w:i w:val="false"/>
          <w:sz w:val="20"/>
        </w:rPr>
        <w:t>发言人1：7月份经济数据偏弱主要是受到三个供给端因素的影响：一是原油进口减弱导致相关行业生产降速；二是煤炭生产因安全检查和新法规落地下滑幅度较大，对整体工业生产有显著拖累；三是天气因素对出行造成冲击。这些供给端冲击在未来若能得到缓解，经济读数有望向上提升。需求端呈现一些收缩迹象。从名义GDP增速对比可以看出，地产投资、制造业基建投资、商品消费、服务消费以及财政支出增速均低于名义GDP增速，出口是少数略高于GDP增速的部分。此外，从结构数据看，如70个大中城市房价数据，年初有十几个城市房价上涨，到七月份仅剩下一线城市几个城市房价持续上涨，这也体现了需求收缩的现象。</w:t>
      </w:r>
    </w:p>
    <w:p>
      <w:r>
        <w:rPr>
          <w:rFonts w:ascii="等线(中文正文)" w:hAnsi="等线(中文正文)" w:cs="等线(中文正文)" w:eastAsia="等线(中文正文)"/>
          <w:b w:val="false"/>
          <w:i w:val="false"/>
          <w:sz w:val="20"/>
        </w:rPr>
        <w:t/>
      </w:r>
    </w:p>
    <w:p>
      <w:pPr>
        <w:pStyle w:val="ab"/>
      </w:pPr>
      <w:r>
        <w:t>在当前经济形势下，哪些领域具有较好的结构性机会？</w:t>
      </w:r>
    </w:p>
    <w:p>
      <w:r>
        <w:rPr>
          <w:rFonts w:ascii="等线(中文正文)" w:hAnsi="等线(中文正文)" w:cs="等线(中文正文)" w:eastAsia="等线(中文正文)"/>
          <w:b w:val="false"/>
          <w:i w:val="false"/>
          <w:sz w:val="20"/>
        </w:rPr>
        <w:t>发言人1：在供给冲击和需求收缩的大背景下，中游制造业是上中下游中表现较好的方向。年初以来的需求指标和中游制造供需矛盾显示，制造业具备一定的结构性优势和期待空间。</w:t>
      </w:r>
    </w:p>
    <w:p>
      <w:r>
        <w:rPr>
          <w:rFonts w:ascii="等线(中文正文)" w:hAnsi="等线(中文正文)" w:cs="等线(中文正文)" w:eastAsia="等线(中文正文)"/>
          <w:b w:val="false"/>
          <w:i w:val="false"/>
          <w:sz w:val="20"/>
        </w:rPr>
        <w:t/>
      </w:r>
    </w:p>
    <w:p>
      <w:pPr>
        <w:pStyle w:val="ab"/>
      </w:pPr>
      <w:r>
        <w:t>存款在不同部门中，分别对实体经济循环有何影响？</w:t>
      </w:r>
    </w:p>
    <w:p>
      <w:r>
        <w:rPr>
          <w:rFonts w:ascii="等线(中文正文)" w:hAnsi="等线(中文正文)" w:cs="等线(中文正文)" w:eastAsia="等线(中文正文)"/>
          <w:b w:val="false"/>
          <w:i w:val="false"/>
          <w:sz w:val="20"/>
        </w:rPr>
        <w:t>发言人1：存款在企业手中时，为企业生产经营提供流动性，有助于推动实体经济循环。存款在非银机构手里，则能为金融市场交易提供流动性，增强金融市场的活跃度。而存款在居民部门手中，则可能反映出居民对投资持悲观态度，不愿意进行投资或消费，这是经济预期相对较弱的信号。</w:t>
      </w:r>
    </w:p>
    <w:p>
      <w:r>
        <w:rPr>
          <w:rFonts w:ascii="等线(中文正文)" w:hAnsi="等线(中文正文)" w:cs="等线(中文正文)" w:eastAsia="等线(中文正文)"/>
          <w:b w:val="false"/>
          <w:i w:val="false"/>
          <w:sz w:val="20"/>
        </w:rPr>
        <w:t/>
      </w:r>
    </w:p>
    <w:p>
      <w:pPr>
        <w:pStyle w:val="ab"/>
      </w:pPr>
      <w:r>
        <w:t>七月份的数据情况如何？</w:t>
      </w:r>
    </w:p>
    <w:p>
      <w:r>
        <w:rPr>
          <w:rFonts w:ascii="等线(中文正文)" w:hAnsi="等线(中文正文)" w:cs="等线(中文正文)" w:eastAsia="等线(中文正文)"/>
          <w:b w:val="false"/>
          <w:i w:val="false"/>
          <w:sz w:val="20"/>
        </w:rPr>
        <w:t>发言人1：七月份数据显示，非金融企业存款和非银存款的同比差额首次双双转负，意味着无论是企业还是非银机构，其存款增长密度均不如去年同期。</w:t>
      </w:r>
    </w:p>
    <w:p>
      <w:r>
        <w:rPr>
          <w:rFonts w:ascii="等线(中文正文)" w:hAnsi="等线(中文正文)" w:cs="等线(中文正文)" w:eastAsia="等线(中文正文)"/>
          <w:b w:val="false"/>
          <w:i w:val="false"/>
          <w:sz w:val="20"/>
        </w:rPr>
        <w:t/>
      </w:r>
    </w:p>
    <w:p>
      <w:pPr>
        <w:pStyle w:val="ab"/>
      </w:pPr>
      <w:r>
        <w:t>导致这种现象的原因是什么？居民行为具体有哪些变化？</w:t>
      </w:r>
    </w:p>
    <w:p>
      <w:r>
        <w:rPr>
          <w:rFonts w:ascii="等线(中文正文)" w:hAnsi="等线(中文正文)" w:cs="等线(中文正文)" w:eastAsia="等线(中文正文)"/>
          <w:b w:val="false"/>
          <w:i w:val="false"/>
          <w:sz w:val="20"/>
        </w:rPr>
        <w:t>发言人1：主要原因在于居民行为的变化，包括居民加速偿还个人住房贷款和个人非住房消费贷款，以及居民存款搬家至金融市场，使得非银机构存款增长明显。上半年居民行为表现为提前还款和存款搬家至金融市场，这导致居民存款同比少增，而贷款数据则显示出居民贷款收缩，尤其是个人住房贷款净增量降至有数据以来单季最低水平，非住房消费贷款净增量连续三个季度为负增长。</w:t>
      </w:r>
    </w:p>
    <w:p>
      <w:r>
        <w:rPr>
          <w:rFonts w:ascii="等线(中文正文)" w:hAnsi="等线(中文正文)" w:cs="等线(中文正文)" w:eastAsia="等线(中文正文)"/>
          <w:b w:val="false"/>
          <w:i w:val="false"/>
          <w:sz w:val="20"/>
        </w:rPr>
        <w:t/>
      </w:r>
    </w:p>
    <w:p>
      <w:pPr>
        <w:pStyle w:val="ab"/>
      </w:pPr>
      <w:r>
        <w:t>政府借贷行为如何影响M2增长？</w:t>
      </w:r>
    </w:p>
    <w:p>
      <w:r>
        <w:rPr>
          <w:rFonts w:ascii="等线(中文正文)" w:hAnsi="等线(中文正文)" w:cs="等线(中文正文)" w:eastAsia="等线(中文正文)"/>
          <w:b w:val="false"/>
          <w:i w:val="false"/>
          <w:sz w:val="20"/>
        </w:rPr>
        <w:t>发言人1：政府债发行速率偏慢，加上银行购买政府债力度减弱，导致政府债对于货币的支撑作用减弱，进一步加剧了M2同比回落的现象。</w:t>
      </w:r>
    </w:p>
    <w:p>
      <w:r>
        <w:rPr>
          <w:rFonts w:ascii="等线(中文正文)" w:hAnsi="等线(中文正文)" w:cs="等线(中文正文)" w:eastAsia="等线(中文正文)"/>
          <w:b w:val="false"/>
          <w:i w:val="false"/>
          <w:sz w:val="20"/>
        </w:rPr>
        <w:t/>
      </w:r>
    </w:p>
    <w:p>
      <w:pPr>
        <w:pStyle w:val="ab"/>
      </w:pPr>
      <w:r>
        <w:t>企业与居民存款剪刀差以及居民新增存款占新增M2比重这两个指标的变化意味着什么？</w:t>
      </w:r>
    </w:p>
    <w:p>
      <w:r>
        <w:rPr>
          <w:rFonts w:ascii="等线(中文正文)" w:hAnsi="等线(中文正文)" w:cs="等线(中文正文)" w:eastAsia="等线(中文正文)"/>
          <w:b w:val="false"/>
          <w:i w:val="false"/>
          <w:sz w:val="20"/>
        </w:rPr>
        <w:t>发言人1：企业与居民存款剪刀差的变化可以预示未来一年的利润增速，该指标在连续上升二十多个月后出现回落，表明居民投资消费倾向减弱，对未来利润预期转悲观。而居民新增存款占新增M2比重指标则反映了居民对资金的风险偏好程度，其占比越低，说明居民更倾向于消费和投资各类资产，风险较高。</w:t>
      </w:r>
    </w:p>
    <w:p>
      <w:r>
        <w:rPr>
          <w:rFonts w:ascii="等线(中文正文)" w:hAnsi="等线(中文正文)" w:cs="等线(中文正文)" w:eastAsia="等线(中文正文)"/>
          <w:b w:val="false"/>
          <w:i w:val="false"/>
          <w:sz w:val="20"/>
        </w:rPr>
        <w:t/>
      </w:r>
    </w:p>
    <w:p>
      <w:pPr>
        <w:pStyle w:val="ab"/>
      </w:pPr>
      <w:r>
        <w:t>24年9月份以来，市场风险的主要表现是什么？</w:t>
      </w:r>
    </w:p>
    <w:p>
      <w:r>
        <w:rPr>
          <w:rFonts w:ascii="等线(中文正文)" w:hAnsi="等线(中文正文)" w:cs="等线(中文正文)" w:eastAsia="等线(中文正文)"/>
          <w:b w:val="false"/>
          <w:i w:val="false"/>
          <w:sz w:val="20"/>
        </w:rPr>
        <w:t>发言人1：自24年9月份以来，市场风险表现为相关指标比值震荡回落，且居民存款的变化及居民新增存款与新增M2的比值出现反转，表明市场对于未来利润预期存在边际震荡。</w:t>
      </w:r>
    </w:p>
    <w:p>
      <w:r>
        <w:rPr>
          <w:rFonts w:ascii="等线(中文正文)" w:hAnsi="等线(中文正文)" w:cs="等线(中文正文)" w:eastAsia="等线(中文正文)"/>
          <w:b w:val="false"/>
          <w:i w:val="false"/>
          <w:sz w:val="20"/>
        </w:rPr>
        <w:t/>
      </w:r>
    </w:p>
    <w:p>
      <w:pPr>
        <w:pStyle w:val="ab"/>
      </w:pPr>
      <w:r>
        <w:t>这次每日联合干预与以往有何不同之处？</w:t>
      </w:r>
    </w:p>
    <w:p>
      <w:r>
        <w:rPr>
          <w:rFonts w:ascii="等线(中文正文)" w:hAnsi="等线(中文正文)" w:cs="等线(中文正文)" w:eastAsia="等线(中文正文)"/>
          <w:b w:val="false"/>
          <w:i w:val="false"/>
          <w:sz w:val="20"/>
        </w:rPr>
        <w:t>发言人1：这次每日联合干预的不同点主要有两点：一是美国直接抛售日元，这在历史上是没有过的；二是干预前日本离岸美元流动性健康，没有出现美元资产不安全性的情况，而以往干预前通常会出现日元对美元掉期点大幅走扩的现象。</w:t>
      </w:r>
    </w:p>
    <w:p>
      <w:r>
        <w:rPr>
          <w:rFonts w:ascii="等线(中文正文)" w:hAnsi="等线(中文正文)" w:cs="等线(中文正文)" w:eastAsia="等线(中文正文)"/>
          <w:b w:val="false"/>
          <w:i w:val="false"/>
          <w:sz w:val="20"/>
        </w:rPr>
        <w:t/>
      </w:r>
    </w:p>
    <w:p>
      <w:pPr>
        <w:pStyle w:val="ab"/>
      </w:pPr>
      <w:r>
        <w:t>美国为何在日元汇率干预之前出手干预？</w:t>
      </w:r>
    </w:p>
    <w:p>
      <w:r>
        <w:rPr>
          <w:rFonts w:ascii="等线(中文正文)" w:hAnsi="等线(中文正文)" w:cs="等线(中文正文)" w:eastAsia="等线(中文正文)"/>
          <w:b w:val="false"/>
          <w:i w:val="false"/>
          <w:sz w:val="20"/>
        </w:rPr>
        <w:t>发言人1：美国可能出于两个原因考虑干预日元汇率：一是担心日本抛售美债对日美债市场造成较大冲击；二是担忧本国金融市场波动加大，鉴于美股和美债相关性增强，在美联储加息预期升温背景下，叠加日本可能的美债抛售，可能进一步加剧美国金融市场波动。</w:t>
      </w:r>
    </w:p>
    <w:p>
      <w:r>
        <w:rPr>
          <w:rFonts w:ascii="等线(中文正文)" w:hAnsi="等线(中文正文)" w:cs="等线(中文正文)" w:eastAsia="等线(中文正文)"/>
          <w:b w:val="false"/>
          <w:i w:val="false"/>
          <w:sz w:val="20"/>
        </w:rPr>
        <w:t/>
      </w:r>
    </w:p>
    <w:p>
      <w:pPr>
        <w:pStyle w:val="ab"/>
      </w:pPr>
      <w:r>
        <w:t>日本在此次汇率干预中提到会使用美联储的外国和国际货币当局回购便利工具，这意味着什么？</w:t>
      </w:r>
    </w:p>
    <w:p>
      <w:r>
        <w:rPr>
          <w:rFonts w:ascii="等线(中文正文)" w:hAnsi="等线(中文正文)" w:cs="等线(中文正文)" w:eastAsia="等线(中文正文)"/>
          <w:b w:val="false"/>
          <w:i w:val="false"/>
          <w:sz w:val="20"/>
        </w:rPr>
        <w:t>发言人1：日本此次可能利用该工具干预日元汇率，这样可以避免直接出售美债获取美元，从而减轻美债市场抛售压力，有助于减少日本以往干预货币时对美债市场的负面影响。</w:t>
      </w:r>
    </w:p>
    <w:p>
      <w:r>
        <w:rPr>
          <w:rFonts w:ascii="等线(中文正文)" w:hAnsi="等线(中文正文)" w:cs="等线(中文正文)" w:eastAsia="等线(中文正文)"/>
          <w:b w:val="false"/>
          <w:i w:val="false"/>
          <w:sz w:val="20"/>
        </w:rPr>
        <w:t/>
      </w:r>
    </w:p>
    <w:p>
      <w:pPr>
        <w:pStyle w:val="ab"/>
      </w:pPr>
      <w:r>
        <w:t>这次日元贬值并非由套期交易所导致，那么背后的原因是什么？</w:t>
      </w:r>
    </w:p>
    <w:p>
      <w:r>
        <w:rPr>
          <w:rFonts w:ascii="等线(中文正文)" w:hAnsi="等线(中文正文)" w:cs="等线(中文正文)" w:eastAsia="等线(中文正文)"/>
          <w:b w:val="false"/>
          <w:i w:val="false"/>
          <w:sz w:val="20"/>
        </w:rPr>
        <w:t>发言人1：日元贬值并非由套期交易所引发，而是由于日央行难以持续加息，这背后的原因包括日本经济本身的滞胀格局以及加息后日本财政付息压力的提升，导致市场对日元的单边贬值预期强烈。</w:t>
      </w:r>
    </w:p>
    <w:p>
      <w:r>
        <w:rPr>
          <w:rFonts w:ascii="等线(中文正文)" w:hAnsi="等线(中文正文)" w:cs="等线(中文正文)" w:eastAsia="等线(中文正文)"/>
          <w:b w:val="false"/>
          <w:i w:val="false"/>
          <w:sz w:val="20"/>
        </w:rPr>
        <w:t/>
      </w:r>
    </w:p>
    <w:p>
      <w:pPr>
        <w:pStyle w:val="ab"/>
      </w:pPr>
      <w:r>
        <w:t>这一次联合干预对资产，特别是黄金的意义是什么？</w:t>
      </w:r>
    </w:p>
    <w:p>
      <w:r>
        <w:rPr>
          <w:rFonts w:ascii="等线(中文正文)" w:hAnsi="等线(中文正文)" w:cs="等线(中文正文)" w:eastAsia="等线(中文正文)"/>
          <w:b w:val="false"/>
          <w:i w:val="false"/>
          <w:sz w:val="20"/>
        </w:rPr>
        <w:t>发言人1：联合干预对资产而言，最直接的影响在于，在当前美元霸权背景下，美债安全性的优先考虑可能导致其他资产配置中黄金的重要性进一步凸显。美国未事先通知欧洲央行的情况下抛售欧元买入日元的举动，强化了去美元化和储备多元化的需求，而黄金作为不依赖任何主权信用的储备资产，其配置价值得到凸显。</w:t>
      </w:r>
    </w:p>
    <w:p>
      <w:r>
        <w:rPr>
          <w:rFonts w:ascii="等线(中文正文)" w:hAnsi="等线(中文正文)" w:cs="等线(中文正文)" w:eastAsia="等线(中文正文)"/>
          <w:b w:val="false"/>
          <w:i w:val="false"/>
          <w:sz w:val="20"/>
        </w:rPr>
        <w:t/>
      </w:r>
    </w:p>
    <w:p>
      <w:pPr>
        <w:pStyle w:val="ab"/>
      </w:pPr>
      <w:r>
        <w:t>近期原油市场波动较大，库存方面有什么值得关注的情况吗？</w:t>
      </w:r>
    </w:p>
    <w:p>
      <w:r>
        <w:rPr>
          <w:rFonts w:ascii="等线(中文正文)" w:hAnsi="等线(中文正文)" w:cs="等线(中文正文)" w:eastAsia="等线(中文正文)"/>
          <w:b w:val="false"/>
          <w:i w:val="false"/>
          <w:sz w:val="20"/>
        </w:rPr>
        <w:t>发言人1：全球原油库存出现不正常变化，根据七月份估计数据，全球可灌输的库存约为78亿桶，相比过去五年最高值82亿桶下降了约4亿桶，但比过去五年最低值（2022年3月）高出约2亿桶。其中，美国战略原油库存显著下降，商业库存则相对较少；不含美国的OECD国家商业石油库存大幅下滑至2004年以来最低水平，约为13.72亿桶。此外，中国的库存数据滞后，但参考海外数据估算，截至5月底，中国库存处于历史偏高水平。水上库存（包括浮动仓储和在途库存）也处于高位，这可能表明石油运输受阻，但这些库存实际上是暂时锁住的，若运输恢复，将可能阶段性加大库存压力。</w:t>
      </w:r>
    </w:p>
    <w:p>
      <w:r>
        <w:rPr>
          <w:rFonts w:ascii="等线(中文正文)" w:hAnsi="等线(中文正文)" w:cs="等线(中文正文)" w:eastAsia="等线(中文正文)"/>
          <w:b w:val="false"/>
          <w:i w:val="false"/>
          <w:sz w:val="20"/>
        </w:rPr>
        <w:t/>
      </w:r>
    </w:p>
    <w:p>
      <w:pPr>
        <w:pStyle w:val="ab"/>
      </w:pPr>
      <w:r>
        <w:t>下半年财政方面有哪些关注点？</w:t>
      </w:r>
    </w:p>
    <w:p>
      <w:r>
        <w:rPr>
          <w:rFonts w:ascii="等线(中文正文)" w:hAnsi="等线(中文正文)" w:cs="等线(中文正文)" w:eastAsia="等线(中文正文)"/>
          <w:b w:val="false"/>
          <w:i w:val="false"/>
          <w:sz w:val="20"/>
        </w:rPr>
        <w:t>发言人1：下半年财政有两个重点问题：一是政府债供给压力，二是支出提升情况。从供给压力角度看，未来四个月政府债同比增量预计在3000到4000亿左右，高于过去几年但低于20年和23年同期。今年市场对供给压力担忧的原因包括深圳政府债规模庞大且发行偏后。历史经验显示，政府设定的发行规模年底通常接近完成。支出提速方面，下半年可能会看到财政支出的反弹，但很难达到24年下半年那种级别，即下半年广义财政支出增速预计在0%左右，相较于上半年有所回升，但仍不及GDP增速。</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2026-08-23T14:14:48Z</dcterms:created>
  <dc:creator>Apache POI</dc:creator>
</cp:coreProperties>
</file>