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app.xml" Type="http://schemas.openxmlformats.org/officeDocument/2006/relationships/extended-properties"/><Relationship Id="rId3" Target="docProps/core.xml" Type="http://schemas.openxmlformats.org/package/2006/relationships/metadata/core-properties"/></Relationships>
</file>

<file path=word/document.xml><?xml version="1.0" encoding="utf-8"?>
<w:document xmlns:w="http://schemas.openxmlformats.org/wordprocessingml/2006/main">
  <w:body>
    <w:p>
      <w:pPr>
        <w:pStyle w:val="ac"/>
      </w:pPr>
      <w:r>
        <w:t>国联民生医药 - 医药周观点&amp;周专题总第157期 260823_导读</w:t>
      </w:r>
    </w:p>
    <w:p>
      <w:pPr>
        <w:pStyle w:val="a0"/>
        <w:jc w:val="center"/>
      </w:pPr>
      <w:r>
        <w:t>2026年08月23日 22:07</w:t>
      </w:r>
    </w:p>
    <w:p>
      <w:pPr>
        <w:pStyle w:val="a7"/>
      </w:pPr>
      <w:r>
        <w:t>关键词</w:t>
      </w:r>
    </w:p>
    <w:p>
      <w:r>
        <w:rPr>
          <w:rFonts w:ascii="等线(中文正文)" w:hAnsi="等线(中文正文)" w:cs="等线(中文正文)" w:eastAsia="等线(中文正文)"/>
          <w:b w:val="false"/>
          <w:i w:val="false"/>
          <w:sz w:val="20"/>
        </w:rPr>
        <w:t xml:space="preserve">医药 创新药 CRO CDMO 乙肝 功能性治愈 SO 广生堂 特宝生物 GSK836 临床三期 临床试验 生物制药 广州南 广仁堂 特普生物 中国生物制药 WCLC 阿斯利康 ADC </w:t>
      </w:r>
    </w:p>
    <w:p>
      <w:r>
        <w:rPr>
          <w:rFonts w:ascii="等线(中文正文)" w:hAnsi="等线(中文正文)" w:cs="等线(中文正文)" w:eastAsia="等线(中文正文)"/>
          <w:b w:val="false"/>
          <w:i w:val="false"/>
          <w:sz w:val="20"/>
        </w:rPr>
        <w:t/>
      </w:r>
    </w:p>
    <w:p>
      <w:pPr>
        <w:pStyle w:val="a7"/>
      </w:pPr>
      <w:r>
        <w:t>全文摘要</w:t>
      </w:r>
    </w:p>
    <w:p>
      <w:r>
        <w:rPr>
          <w:rFonts w:ascii="等线(中文正文)" w:hAnsi="等线(中文正文)" w:cs="等线(中文正文)" w:eastAsia="等线(中文正文)"/>
          <w:b w:val="false"/>
          <w:i w:val="false"/>
          <w:sz w:val="20"/>
        </w:rPr>
        <w:t>近期医药行业经历震荡调整，申万医药指数本周下跌2.32%，表现不及沪深300和创业板指数，但行业亮点突出，如AIDD供应链和莫丹娜的肿瘤疫苗推动了市场。乙肝治疗领域存在未满足的临床需求，SO和Camp抑制剂两种药物被看好，特别强调功能性治愈的重要性。SO药物在美国和中国进展顺利，Camp抑制剂在中国正在进行临床试验。创新药方面，COVID-19药物进展和抗体药物组合在后线治疗中的潜力成为焦点。会议总结指出，医药行业的未来展望需关注创新药的开发和功能性治愈方案，具体案例分析展示了行业的趋势和机遇。</w:t>
      </w:r>
    </w:p>
    <w:p>
      <w:r>
        <w:rPr>
          <w:rFonts w:ascii="等线(中文正文)" w:hAnsi="等线(中文正文)" w:cs="等线(中文正文)" w:eastAsia="等线(中文正文)"/>
          <w:b w:val="false"/>
          <w:i w:val="false"/>
          <w:sz w:val="20"/>
        </w:rPr>
        <w:t/>
      </w:r>
    </w:p>
    <w:p>
      <w:pPr>
        <w:pStyle w:val="a7"/>
      </w:pPr>
      <w:r>
        <w:t>章节速览</w:t>
      </w:r>
    </w:p>
    <w:p>
      <w:pPr>
        <w:pStyle w:val="ab"/>
        <w:numPr>
          <w:numId w:val="1"/>
        </w:numPr>
      </w:pPr>
      <w:r>
        <w:t>00:00 医药行情回顾与创新药供应链分析</w:t>
      </w:r>
    </w:p>
    <w:p>
      <w:r>
        <w:rPr>
          <w:rFonts w:ascii="等线(中文正文)" w:hAnsi="等线(中文正文)" w:cs="等线(中文正文)" w:eastAsia="等线(中文正文)"/>
          <w:b w:val="false"/>
          <w:i w:val="false"/>
          <w:sz w:val="20"/>
        </w:rPr>
        <w:t>本周医药指数下跌2.32%，跑输沪深300和创业板指数，创新药供应链表现突出，特别是AIDD供应链和肿瘤疫苗，资金极化流动影响市场表现，风险偏好下行后市场反馈强烈，医药板块辨识度高，易吸引增量资金关注。</w:t>
      </w:r>
    </w:p>
    <w:p>
      <w:r>
        <w:rPr>
          <w:rFonts w:ascii="等线(中文正文)" w:hAnsi="等线(中文正文)" w:cs="等线(中文正文)" w:eastAsia="等线(中文正文)"/>
          <w:b w:val="false"/>
          <w:i w:val="false"/>
          <w:sz w:val="20"/>
        </w:rPr>
        <w:t/>
      </w:r>
    </w:p>
    <w:p>
      <w:pPr>
        <w:pStyle w:val="ab"/>
        <w:numPr>
          <w:numId w:val="2"/>
        </w:numPr>
      </w:pPr>
      <w:r>
        <w:t>02:41 医药行业投资展望与乙肝治疗专题</w:t>
      </w:r>
    </w:p>
    <w:p>
      <w:r>
        <w:rPr>
          <w:rFonts w:ascii="等线(中文正文)" w:hAnsi="等线(中文正文)" w:cs="等线(中文正文)" w:eastAsia="等线(中文正文)"/>
          <w:b w:val="false"/>
          <w:i w:val="false"/>
          <w:sz w:val="20"/>
        </w:rPr>
        <w:t>对话内容覆盖了中短期医药行业投资方向，包括创新加供应链、CRO/CDMO赛道及大药科技革命等，特别提及了乙肝治疗功能性治愈的SO gsk药物。展望了创新药、CDMO大单品、CRO逐级传导等领域的投资机会，强调了市场波动下的加配策略。乙肝治疗专题则聚焦于功能性治愈的两类关键药物。</w:t>
      </w:r>
    </w:p>
    <w:p>
      <w:r>
        <w:rPr>
          <w:rFonts w:ascii="等线(中文正文)" w:hAnsi="等线(中文正文)" w:cs="等线(中文正文)" w:eastAsia="等线(中文正文)"/>
          <w:b w:val="false"/>
          <w:i w:val="false"/>
          <w:sz w:val="20"/>
        </w:rPr>
        <w:t/>
      </w:r>
    </w:p>
    <w:p>
      <w:pPr>
        <w:pStyle w:val="ab"/>
        <w:numPr>
          <w:numId w:val="3"/>
        </w:numPr>
      </w:pPr>
      <w:r>
        <w:t>05:01 乙肝治疗新进展：CAMP抑制剂与功能性治愈策略</w:t>
      </w:r>
    </w:p>
    <w:p>
      <w:r>
        <w:rPr>
          <w:rFonts w:ascii="等线(中文正文)" w:hAnsi="等线(中文正文)" w:cs="等线(中文正文)" w:eastAsia="等线(中文正文)"/>
          <w:b w:val="false"/>
          <w:i w:val="false"/>
          <w:sz w:val="20"/>
        </w:rPr>
        <w:t>对话讨论了乙肝治疗的未满足临床需求，包括全球感染人数、诊断与治疗率等现状。重点介绍了CAMP抑制剂，如广生堂的CAMS在临床三期，及SO单抗小核酸药物的作用机制。强调了功能性治愈需阻断病毒复制、降低S抗原和增强免疫功能的三重策略，当前研发正聚焦于这些创新疗法。</w:t>
      </w:r>
    </w:p>
    <w:p>
      <w:r>
        <w:rPr>
          <w:rFonts w:ascii="等线(中文正文)" w:hAnsi="等线(中文正文)" w:cs="等线(中文正文)" w:eastAsia="等线(中文正文)"/>
          <w:b w:val="false"/>
          <w:i w:val="false"/>
          <w:sz w:val="20"/>
        </w:rPr>
        <w:t/>
      </w:r>
    </w:p>
    <w:p>
      <w:pPr>
        <w:pStyle w:val="ab"/>
        <w:numPr>
          <w:numId w:val="4"/>
        </w:numPr>
      </w:pPr>
      <w:r>
        <w:t>09:52 GSK836在临床三期中展现功能性治愈乙肝的潜力</w:t>
      </w:r>
    </w:p>
    <w:p>
      <w:r>
        <w:rPr>
          <w:rFonts w:ascii="等线(中文正文)" w:hAnsi="等线(中文正文)" w:cs="等线(中文正文)" w:eastAsia="等线(中文正文)"/>
          <w:b w:val="false"/>
          <w:i w:val="false"/>
          <w:sz w:val="20"/>
        </w:rPr>
        <w:t>GSK836在临床三期试验中，针对HBV DNA低于92U/mL的患者，通过特定的治疗方案，成功实现了19%的整体功能性自愈率，其中亚洲患者，尤其是中国患者，治愈率更高，达到33%。该药物安全性良好，主要不良反应轻微，未来有望成为功能性治愈乙肝的重要候选药物，并已提交上市申请，预计不久将在多国上市。</w:t>
      </w:r>
    </w:p>
    <w:p>
      <w:r>
        <w:rPr>
          <w:rFonts w:ascii="等线(中文正文)" w:hAnsi="等线(中文正文)" w:cs="等线(中文正文)" w:eastAsia="等线(中文正文)"/>
          <w:b w:val="false"/>
          <w:i w:val="false"/>
          <w:sz w:val="20"/>
        </w:rPr>
        <w:t/>
      </w:r>
    </w:p>
    <w:p>
      <w:pPr>
        <w:pStyle w:val="ab"/>
        <w:numPr>
          <w:numId w:val="5"/>
        </w:numPr>
      </w:pPr>
      <w:r>
        <w:t>14:21 中国生物制药与乙肝药物市场合作进展</w:t>
      </w:r>
    </w:p>
    <w:p>
      <w:r>
        <w:rPr>
          <w:rFonts w:ascii="等线(中文正文)" w:hAnsi="等线(中文正文)" w:cs="等线(中文正文)" w:eastAsia="等线(中文正文)"/>
          <w:b w:val="false"/>
          <w:i w:val="false"/>
          <w:sz w:val="20"/>
        </w:rPr>
        <w:t>中国生物制药与GSK合作推广药物，峰值销售额预计达20亿至30亿美元，中国市场占比约1/3。特宝生物与广生堂的CAMPs药物研发进展顺利，特宝生物二期临床数据良好，广生堂三期临床完成入组，预计27年底或28年初上市。推荐关注广生堂、特宝生物和中国生物制药。</w:t>
      </w:r>
    </w:p>
    <w:p>
      <w:r>
        <w:rPr>
          <w:rFonts w:ascii="等线(中文正文)" w:hAnsi="等线(中文正文)" w:cs="等线(中文正文)" w:eastAsia="等线(中文正文)"/>
          <w:b w:val="false"/>
          <w:i w:val="false"/>
          <w:sz w:val="20"/>
        </w:rPr>
        <w:t/>
      </w:r>
    </w:p>
    <w:p>
      <w:pPr>
        <w:pStyle w:val="ab"/>
        <w:numPr>
          <w:numId w:val="6"/>
        </w:numPr>
      </w:pPr>
      <w:r>
        <w:t>21:34 WCLC大会PD-1药物最新数据解读</w:t>
      </w:r>
    </w:p>
    <w:p>
      <w:r>
        <w:rPr>
          <w:rFonts w:ascii="等线(中文正文)" w:hAnsi="等线(中文正文)" w:cs="等线(中文正文)" w:eastAsia="等线(中文正文)"/>
          <w:b w:val="false"/>
          <w:i w:val="false"/>
          <w:sz w:val="20"/>
        </w:rPr>
        <w:t>讨论了WCLC大会上PD-1药物在肺癌治疗领域的最新数据，重点分析了阿斯利康的realy产品在WCLC上的数据更新。尽管ORR和DOR有所提升，但OS数据成熟度低，与K药的三期临床数据相比缺乏可比性。整体来看，数据更新有限，未显著提升对PD-1药物在肺癌治疗上的信心。</w:t>
      </w:r>
    </w:p>
    <w:p>
      <w:r>
        <w:rPr>
          <w:rFonts w:ascii="等线(中文正文)" w:hAnsi="等线(中文正文)" w:cs="等线(中文正文)" w:eastAsia="等线(中文正文)"/>
          <w:b w:val="false"/>
          <w:i w:val="false"/>
          <w:sz w:val="20"/>
        </w:rPr>
        <w:t/>
      </w:r>
    </w:p>
    <w:p>
      <w:pPr>
        <w:pStyle w:val="ab"/>
        <w:numPr>
          <w:numId w:val="7"/>
        </w:numPr>
      </w:pPr>
      <w:r>
        <w:t>29:12 PD-1与VGF双抗药物市场竞争力分析</w:t>
      </w:r>
    </w:p>
    <w:p>
      <w:r>
        <w:rPr>
          <w:rFonts w:ascii="等线(中文正文)" w:hAnsi="等线(中文正文)" w:cs="等线(中文正文)" w:eastAsia="等线(中文正文)"/>
          <w:b w:val="false"/>
          <w:i w:val="false"/>
          <w:sz w:val="20"/>
        </w:rPr>
        <w:t>讨论了阿斯利康和荣昌生物的PD-1与VGF双抗药物在肺癌等适应症上的数据表现，指出阿斯利康数据读出预期不明，而荣昌生物的RC148在特定人群中表现优异。强调了不同药物组合的差异化路径，以及中国肝癌致病机制与海外的差异。建议审慎评估阿斯利康产品的成长潜力，待PFS数据成熟后再进行深度比对。</w:t>
      </w:r>
    </w:p>
    <w:p>
      <w:r>
        <w:rPr>
          <w:rFonts w:ascii="等线(中文正文)" w:hAnsi="等线(中文正文)" w:cs="等线(中文正文)" w:eastAsia="等线(中文正文)"/>
          <w:b w:val="false"/>
          <w:i w:val="false"/>
          <w:sz w:val="20"/>
        </w:rPr>
        <w:t/>
      </w:r>
    </w:p>
    <w:p>
      <w:pPr>
        <w:pStyle w:val="ab"/>
        <w:numPr>
          <w:numId w:val="8"/>
        </w:numPr>
      </w:pPr>
      <w:r>
        <w:t>34:37 PD-1双抗药物在后线治疗中的疗效与安全性探讨</w:t>
      </w:r>
    </w:p>
    <w:p>
      <w:r>
        <w:rPr>
          <w:rFonts w:ascii="等线(中文正文)" w:hAnsi="等线(中文正文)" w:cs="等线(中文正文)" w:eastAsia="等线(中文正文)"/>
          <w:b w:val="false"/>
          <w:i w:val="false"/>
          <w:sz w:val="20"/>
        </w:rPr>
        <w:t>讨论了PD-1双抗药物如卡托尼利与多西他赛联用在后线治疗批量定制费用上的显著疗效提升，包括OR、DCR、PFS和OS的改善。同时，对比了同类药物如PPX912与信达363在剂量、毒副作用及临床进展上的差异，强调了在临床验证中对安全性与疗效平衡的关注。</w:t>
      </w:r>
    </w:p>
    <w:p>
      <w:r>
        <w:rPr>
          <w:rFonts w:ascii="等线(中文正文)" w:hAnsi="等线(中文正文)" w:cs="等线(中文正文)" w:eastAsia="等线(中文正文)"/>
          <w:b w:val="false"/>
          <w:i w:val="false"/>
          <w:sz w:val="20"/>
        </w:rPr>
        <w:t/>
      </w:r>
    </w:p>
    <w:p>
      <w:pPr>
        <w:pStyle w:val="ab"/>
        <w:numPr>
          <w:numId w:val="9"/>
        </w:numPr>
      </w:pPr>
      <w:r>
        <w:t>43:45 新一代CPV four药物展现显著生存获益</w:t>
      </w:r>
    </w:p>
    <w:p>
      <w:r>
        <w:rPr>
          <w:rFonts w:ascii="等线(中文正文)" w:hAnsi="等线(中文正文)" w:cs="等线(中文正文)" w:eastAsia="等线(中文正文)"/>
          <w:b w:val="false"/>
          <w:i w:val="false"/>
          <w:sz w:val="20"/>
        </w:rPr>
        <w:t>对话讨论了一款名为CPV four的新一代药物在注册临床试验中的表现。该药物在PFS和OS层面展现出优于化疗的效果，尤其在控制疾病进展和提高患者生存率方面有显著成效，预示着其可能成为全球首个在头对头研究中击败新一代免疫疗法的药物。</w:t>
      </w:r>
    </w:p>
    <w:p>
      <w:r>
        <w:rPr>
          <w:rFonts w:ascii="等线(中文正文)" w:hAnsi="等线(中文正文)" w:cs="等线(中文正文)" w:eastAsia="等线(中文正文)"/>
          <w:b w:val="false"/>
          <w:i w:val="false"/>
          <w:sz w:val="20"/>
        </w:rPr>
        <w:t/>
      </w:r>
    </w:p>
    <w:p>
      <w:pPr>
        <w:pStyle w:val="ab"/>
        <w:numPr>
          <w:numId w:val="10"/>
        </w:numPr>
      </w:pPr>
      <w:r>
        <w:t>46:34 WCLC上新药临床数据披露及治疗方案优化</w:t>
      </w:r>
    </w:p>
    <w:p>
      <w:r>
        <w:rPr>
          <w:rFonts w:ascii="等线(中文正文)" w:hAnsi="等线(中文正文)" w:cs="等线(中文正文)" w:eastAsia="等线(中文正文)"/>
          <w:b w:val="false"/>
          <w:i w:val="false"/>
          <w:sz w:val="20"/>
        </w:rPr>
        <w:t>对话讨论了在WCLC上将披露的新药第一阶段OS数据，涉及两种给药方式，重点是100粒剂量组与对照组的对比。第二阶段将采用选定的给药方案，即10毫克每公斤每三周两次，随后转为6毫克每公斤维持，样本量扩大至249人，预计今年末提供数据。此新药有望成为全球首个获批用于治疗IO金质耐药肺鳞癌的产品。此外，还提到了一线广泛性小细胞肺癌的治疗进展，包括齐鲁与民宇制药合作的BCIADC结合PD-1抗体的固定剂量组合。</w:t>
      </w:r>
    </w:p>
    <w:p>
      <w:r>
        <w:rPr>
          <w:rFonts w:ascii="等线(中文正文)" w:hAnsi="等线(中文正文)" w:cs="等线(中文正文)" w:eastAsia="等线(中文正文)"/>
          <w:b w:val="false"/>
          <w:i w:val="false"/>
          <w:sz w:val="20"/>
        </w:rPr>
        <w:t/>
      </w:r>
    </w:p>
    <w:p>
      <w:pPr>
        <w:pStyle w:val="ab"/>
        <w:numPr>
          <w:numId w:val="11"/>
        </w:numPr>
      </w:pPr>
      <w:r>
        <w:t>48:54 明宇制药与齐鲁合作，新型疗法展现一线治疗潜力</w:t>
      </w:r>
    </w:p>
    <w:p>
      <w:r>
        <w:rPr>
          <w:rFonts w:ascii="等线(中文正文)" w:hAnsi="等线(中文正文)" w:cs="等线(中文正文)" w:eastAsia="等线(中文正文)"/>
          <w:b w:val="false"/>
          <w:i w:val="false"/>
          <w:sz w:val="20"/>
        </w:rPr>
        <w:t>明宇制药与齐鲁合作，共同研发新型疗法，尤其在POVEGF和ATC层面展现出差异化产品优势。早期数据显示，PDRC固定剂量组合在一线治疗中达到100%的OR和DCR，展现出极高的疗效。尽管目前数据尚不成熟，但未来在OS层面可能实现差异化。安全性方面，三级以上TRE发生率低于40%，优于传统疗法。会议还提及了其他公司在ABC层面的研发进展，如石药、百丽天恒等，强调了新型抗体和靶向疗法在后线治疗中的潜力。</w:t>
      </w:r>
    </w:p>
    <w:p>
      <w:r>
        <w:rPr>
          <w:rFonts w:ascii="等线(中文正文)" w:hAnsi="等线(中文正文)" w:cs="等线(中文正文)" w:eastAsia="等线(中文正文)"/>
          <w:b w:val="false"/>
          <w:i w:val="false"/>
          <w:sz w:val="20"/>
        </w:rPr>
        <w:t/>
      </w:r>
    </w:p>
    <w:p>
      <w:pPr>
        <w:pStyle w:val="a7"/>
      </w:pPr>
      <w:r>
        <w:t>发言总结</w:t>
      </w:r>
    </w:p>
    <w:p>
      <w:pPr>
        <w:pStyle w:val="ab"/>
        <w:numPr>
          <w:numId w:val="12"/>
        </w:numPr>
      </w:pPr>
      <w:r>
        <w:t>发言人1</w:t>
      </w:r>
    </w:p>
    <w:p>
      <w:r>
        <w:rPr>
          <w:rFonts w:ascii="等线(中文正文)" w:hAnsi="等线(中文正文)" w:cs="等线(中文正文)" w:eastAsia="等线(中文正文)"/>
          <w:b w:val="false"/>
          <w:i w:val="false"/>
          <w:sz w:val="20"/>
        </w:rPr>
        <w:t>本次电话会议由他主持，内容主要围绕医药行业的最新动态与投资机会展开。首先，他回顾了本周医药行情，指出申万医药指数下跌2.32%，排名行业第20位，但周四市场回暖，受到AIDD供应链和莫丹娜肿瘤疫苗的推动。接着，深入讨论了医药行业的资金流动影响、创新药供应链及CRO领域的亮点，强调了在行业调整和风格切换中把握投资机会的重要性。
随后，他转向乙肝治疗专题，详细分析了SO和Cam抑制剂在乙肝治疗领域的进展，包括临床试验结果、市场潜力及功能性治愈的前景，凸显了满足临床需求与实现有效治疗的挑战。
会议最后，他表达了对医药行业未来发展的乐观态度，特别强调了创新药、生物技术、CRO/CDMO等领域的投资价值，以及对疾病特定治疗方案的重视和对企业及技术前景的积极预期。此次会议为参会者提供了医药行业最新进展的深度洞察及投资前景的前瞻分析。</w:t>
      </w:r>
    </w:p>
    <w:p>
      <w:r>
        <w:rPr>
          <w:rFonts w:ascii="等线(中文正文)" w:hAnsi="等线(中文正文)" w:cs="等线(中文正文)" w:eastAsia="等线(中文正文)"/>
          <w:b w:val="false"/>
          <w:i w:val="false"/>
          <w:sz w:val="20"/>
        </w:rPr>
        <w:t/>
      </w:r>
    </w:p>
    <w:p>
      <w:pPr>
        <w:pStyle w:val="a7"/>
      </w:pPr>
      <w:r>
        <w:t>问答回顾</w:t>
      </w:r>
    </w:p>
    <w:p>
      <w:pPr>
        <w:pStyle w:val="ab"/>
      </w:pPr>
      <w:r>
        <w:t>发言人1 问：本周医药板块的整体行情如何，以及下跌的原因是什么？</w:t>
      </w:r>
    </w:p>
    <w:p>
      <w:r>
        <w:rPr>
          <w:rFonts w:ascii="等线(中文正文)" w:hAnsi="等线(中文正文)" w:cs="等线(中文正文)" w:eastAsia="等线(中文正文)"/>
          <w:b w:val="false"/>
          <w:i w:val="false"/>
          <w:sz w:val="20"/>
        </w:rPr>
        <w:t>发言人1 答：本周申万医药指数下跌了2.32%，跑输了沪深300指数和创业板指数，在所有行业中涨幅排在第20位。医药指数在震荡调整期中有所表现，周四出现了明显大涨，主要由AIDD供应链和莫丹娜肿瘤疫苗拉动涨幅。整体医药行情的驱动力更多来自于宏观行业比较和资金流动，尤其是全市场资金的极化流动，上半年的调整及七月以来的风格切换均体现了这一特征。</w:t>
      </w:r>
    </w:p>
    <w:p>
      <w:r>
        <w:rPr>
          <w:rFonts w:ascii="等线(中文正文)" w:hAnsi="等线(中文正文)" w:cs="等线(中文正文)" w:eastAsia="等线(中文正文)"/>
          <w:b w:val="false"/>
          <w:i w:val="false"/>
          <w:sz w:val="20"/>
        </w:rPr>
        <w:t/>
      </w:r>
    </w:p>
    <w:p>
      <w:pPr>
        <w:pStyle w:val="ab"/>
      </w:pPr>
      <w:r>
        <w:t>发言人1 问：近期医药子行业中哪些方向表现突出，以及它们的驱动因素是什么？</w:t>
      </w:r>
    </w:p>
    <w:p>
      <w:r>
        <w:rPr>
          <w:rFonts w:ascii="等线(中文正文)" w:hAnsi="等线(中文正文)" w:cs="等线(中文正文)" w:eastAsia="等线(中文正文)"/>
          <w:b w:val="false"/>
          <w:i w:val="false"/>
          <w:sz w:val="20"/>
        </w:rPr>
        <w:t>发言人1 答：近期创新药供应链（CRO）表现最为突出，具备逻辑与业绩兼备的特点。其中，CRO的小赛道如口服减肥多肽、AIDD供应链从0到1以及肿瘤疫苗（例如MRA肿瘤疫苗）的拉动，强化了供应链的比较优势。此外，资金配置上，创新供应链板块因其辨识度高，在新医药板块均衡过程中容易吸引增量资金的关注。</w:t>
      </w:r>
    </w:p>
    <w:p>
      <w:r>
        <w:rPr>
          <w:rFonts w:ascii="等线(中文正文)" w:hAnsi="等线(中文正文)" w:cs="等线(中文正文)" w:eastAsia="等线(中文正文)"/>
          <w:b w:val="false"/>
          <w:i w:val="false"/>
          <w:sz w:val="20"/>
        </w:rPr>
        <w:t/>
      </w:r>
    </w:p>
    <w:p>
      <w:pPr>
        <w:pStyle w:val="ab"/>
      </w:pPr>
      <w:r>
        <w:t>发言人1 问：对于未来医药投资方向有何展望？</w:t>
      </w:r>
    </w:p>
    <w:p>
      <w:r>
        <w:rPr>
          <w:rFonts w:ascii="等线(中文正文)" w:hAnsi="等线(中文正文)" w:cs="等线(中文正文)" w:eastAsia="等线(中文正文)"/>
          <w:b w:val="false"/>
          <w:i w:val="false"/>
          <w:sz w:val="20"/>
        </w:rPr>
        <w:t>发言人1 答：中短期维度上，看好创新药及供应链方向，尤其是CRO领域的平台输出分子能力公司，如神仙岛、百奥、赛图等；CDMO的大单品赛道，特别是口服减肥多肽、口服小分子ADC注射多肽及M端逻辑相关的药明康德、凯莱英、康龙化成等公司。此外，还看好AIDD供应链和肿瘤疫苗递送系统，如金斯瑞白克赛斯维亚、康希诺、健凯模式等。</w:t>
      </w:r>
    </w:p>
    <w:p>
      <w:r>
        <w:rPr>
          <w:rFonts w:ascii="等线(中文正文)" w:hAnsi="等线(中文正文)" w:cs="等线(中文正文)" w:eastAsia="等线(中文正文)"/>
          <w:b w:val="false"/>
          <w:i w:val="false"/>
          <w:sz w:val="20"/>
        </w:rPr>
        <w:t/>
      </w:r>
    </w:p>
    <w:p>
      <w:pPr>
        <w:pStyle w:val="ab"/>
      </w:pPr>
      <w:r>
        <w:t>发言人1 问：乙肝治疗专题中，当前乙肝治疗存在哪些未满足的临床需求，以及针对功能性治愈的药物研发进展如何？</w:t>
      </w:r>
    </w:p>
    <w:p>
      <w:r>
        <w:rPr>
          <w:rFonts w:ascii="等线(中文正文)" w:hAnsi="等线(中文正文)" w:cs="等线(中文正文)" w:eastAsia="等线(中文正文)"/>
          <w:b w:val="false"/>
          <w:i w:val="false"/>
          <w:sz w:val="20"/>
        </w:rPr>
        <w:t>发言人1 答：乙肝治疗方面，全球有大量患者未得到诊断和治疗，且现有核苷类似物和聚乙二醇干扰素（长效干扰素）虽能有效遏制病毒进展，但整体功能性治愈率较低。目前，针对功能性治愈的药物如SO（GSK）和Cam（以广生堂和百奥为代表）正在进行联合开发和临床试验中。实现功能性治愈需要阻断病毒复制、降低抗原水平并刺激免疫功能三个途径共同作用。</w:t>
      </w:r>
    </w:p>
    <w:p>
      <w:r>
        <w:rPr>
          <w:rFonts w:ascii="等线(中文正文)" w:hAnsi="等线(中文正文)" w:cs="等线(中文正文)" w:eastAsia="等线(中文正文)"/>
          <w:b w:val="false"/>
          <w:i w:val="false"/>
          <w:sz w:val="20"/>
        </w:rPr>
        <w:t/>
      </w:r>
    </w:p>
    <w:p>
      <w:pPr>
        <w:pStyle w:val="ab"/>
      </w:pPr>
      <w:r>
        <w:t>发言人1 问：GSK836药物在临床三期研究中的主要结果是什么？</w:t>
      </w:r>
    </w:p>
    <w:p>
      <w:r>
        <w:rPr>
          <w:rFonts w:ascii="等线(中文正文)" w:hAnsi="等线(中文正文)" w:cs="等线(中文正文)" w:eastAsia="等线(中文正文)"/>
          <w:b w:val="false"/>
          <w:i w:val="false"/>
          <w:sz w:val="20"/>
        </w:rPr>
        <w:t>发言人1 答：GSK836在临床三期研究中的主要终点是针对S蛋白的指标，结果显示其成功达到了主要终点。在治疗阶段，患者每周注射一次药物，前两周剂量加倍。治疗半年后随访至第72周，该药物在病毒复制方面的抑制效果显著，尤其是当S蛋白水平低于92U每毫升时，HBVDNA复制得到有效抑制。临床数据显示，GSK836组病人的功能性治愈率高达19%，而安慰剂组则为0%。</w:t>
      </w:r>
    </w:p>
    <w:p>
      <w:r>
        <w:rPr>
          <w:rFonts w:ascii="等线(中文正文)" w:hAnsi="等线(中文正文)" w:cs="等线(中文正文)" w:eastAsia="等线(中文正文)"/>
          <w:b w:val="false"/>
          <w:i w:val="false"/>
          <w:sz w:val="20"/>
        </w:rPr>
        <w:t/>
      </w:r>
    </w:p>
    <w:p>
      <w:pPr>
        <w:pStyle w:val="ab"/>
      </w:pPr>
      <w:r>
        <w:t>发言人1 问：GSK836药物在中国及亚洲人群中的表现如何？</w:t>
      </w:r>
    </w:p>
    <w:p>
      <w:r>
        <w:rPr>
          <w:rFonts w:ascii="等线(中文正文)" w:hAnsi="等线(中文正文)" w:cs="等线(中文正文)" w:eastAsia="等线(中文正文)"/>
          <w:b w:val="false"/>
          <w:i w:val="false"/>
          <w:sz w:val="20"/>
        </w:rPr>
        <w:t>发言人1 答：在中国和亚洲人群中，GSK836药物表现出更优的效果。对于S蛋白水平低于1000的患者，其功能性治愈率达到了33%，相较于全球数据高出6个百分点；而对于S蛋白水平低于3000的患者，治愈率也比全球数据提升了3个百分点。</w:t>
      </w:r>
    </w:p>
    <w:p>
      <w:r>
        <w:rPr>
          <w:rFonts w:ascii="等线(中文正文)" w:hAnsi="等线(中文正文)" w:cs="等线(中文正文)" w:eastAsia="等线(中文正文)"/>
          <w:b w:val="false"/>
          <w:i w:val="false"/>
          <w:sz w:val="20"/>
        </w:rPr>
        <w:t/>
      </w:r>
    </w:p>
    <w:p>
      <w:pPr>
        <w:pStyle w:val="ab"/>
      </w:pPr>
      <w:r>
        <w:t>发言人1 问：GSK836药物的安全性如何？</w:t>
      </w:r>
    </w:p>
    <w:p>
      <w:r>
        <w:rPr>
          <w:rFonts w:ascii="等线(中文正文)" w:hAnsi="等线(中文正文)" w:cs="等线(中文正文)" w:eastAsia="等线(中文正文)"/>
          <w:b w:val="false"/>
          <w:i w:val="false"/>
          <w:sz w:val="20"/>
        </w:rPr>
        <w:t>发言人1 答：GSK836药物的安全性良好，常见的不良反应主要是注射部位的红斑、局部疼痛和血液中转氨酶升高等，这些不良反应均不严重，因此该药物有望成为功能性治愈方案中的重要候选药物，并可能在未来成为积食药物之一。</w:t>
      </w:r>
    </w:p>
    <w:p>
      <w:r>
        <w:rPr>
          <w:rFonts w:ascii="等线(中文正文)" w:hAnsi="等线(中文正文)" w:cs="等线(中文正文)" w:eastAsia="等线(中文正文)"/>
          <w:b w:val="false"/>
          <w:i w:val="false"/>
          <w:sz w:val="20"/>
        </w:rPr>
        <w:t/>
      </w:r>
    </w:p>
    <w:p>
      <w:pPr>
        <w:pStyle w:val="ab"/>
      </w:pPr>
      <w:r>
        <w:t>发言人1 问：关于中国生物制药与GSK之间的合作情况如何？</w:t>
      </w:r>
    </w:p>
    <w:p>
      <w:r>
        <w:rPr>
          <w:rFonts w:ascii="等线(中文正文)" w:hAnsi="等线(中文正文)" w:cs="等线(中文正文)" w:eastAsia="等线(中文正文)"/>
          <w:b w:val="false"/>
          <w:i w:val="false"/>
          <w:sz w:val="20"/>
        </w:rPr>
        <w:t>发言人1 答：中国生物制药与GSK于今年5月份达成合作，由中方负责在中国市场的销售推广，GSK则以生产成本为基础，加上可能的溢价，将药物销售给中国生物制药。中国生物制药凭借其在乙肝药物研究领域的深厚积累和强大的销售能力，有望在中国市场获得显著的销售额，预计峰值销售额可能达到20亿英镑，约合20至30亿美元，其中中国市场的规模约为三分之一。</w:t>
      </w:r>
    </w:p>
    <w:p>
      <w:r>
        <w:rPr>
          <w:rFonts w:ascii="等线(中文正文)" w:hAnsi="等线(中文正文)" w:cs="等线(中文正文)" w:eastAsia="等线(中文正文)"/>
          <w:b w:val="false"/>
          <w:i w:val="false"/>
          <w:sz w:val="20"/>
        </w:rPr>
        <w:t/>
      </w:r>
    </w:p>
    <w:p>
      <w:pPr>
        <w:pStyle w:val="ab"/>
      </w:pPr>
      <w:r>
        <w:t>发言人1 问：Cams（一可组装调节剂）的研发进展如何？</w:t>
      </w:r>
    </w:p>
    <w:p>
      <w:r>
        <w:rPr>
          <w:rFonts w:ascii="等线(中文正文)" w:hAnsi="等线(中文正文)" w:cs="等线(中文正文)" w:eastAsia="等线(中文正文)"/>
          <w:b w:val="false"/>
          <w:i w:val="false"/>
          <w:sz w:val="20"/>
        </w:rPr>
        <w:t>发言人1 答：Cams作为抑制HBeAg形成的药物，在临床研发上由广阳堂和特宝生物共同推进。其中，广阳堂进展较快，已进入临床三期，而特宝生物的Cams产品目前处于临床二期阶段。Cams药物通过抑制HBeAg形成不仅降低HBVDNA含量，还能降低S蛋白、E蛋白和Q蛋白含量，展现出了比核心类药物更丰富的功能。例如，李构子公司研发的Cams药物在临床一期试验中表现出良好的效果，预计将在明年Q3公布二期顶线数据，并已与淘宝生活和阿里公司达成合作，获得该药物在大中华区的独家开发生产和商业化权益。</w:t>
      </w:r>
    </w:p>
    <w:p>
      <w:r>
        <w:rPr>
          <w:rFonts w:ascii="等线(中文正文)" w:hAnsi="等线(中文正文)" w:cs="等线(中文正文)" w:eastAsia="等线(中文正文)"/>
          <w:b w:val="false"/>
          <w:i w:val="false"/>
          <w:sz w:val="20"/>
        </w:rPr>
        <w:t/>
      </w:r>
    </w:p>
    <w:p>
      <w:pPr>
        <w:pStyle w:val="ab"/>
      </w:pPr>
      <w:r>
        <w:t>发言人1 问：这个临床实验的主要目标是什么？</w:t>
      </w:r>
    </w:p>
    <w:p>
      <w:r>
        <w:rPr>
          <w:rFonts w:ascii="等线(中文正文)" w:hAnsi="等线(中文正文)" w:cs="等线(中文正文)" w:eastAsia="等线(中文正文)"/>
          <w:b w:val="false"/>
          <w:i w:val="false"/>
          <w:sz w:val="20"/>
        </w:rPr>
        <w:t>发言人1 答：这个临床实验的主要目标是观察在低病毒血症人群中，使用camps加核苷类似物对照组的治疗一年后，血清DNA指标是否能降低到20IU每毫升以下，并且比较两组患者的病毒抑制率差异是否显著。此外，次要终点是考察用药48周的安全性。</w:t>
      </w:r>
    </w:p>
    <w:p>
      <w:r>
        <w:rPr>
          <w:rFonts w:ascii="等线(中文正文)" w:hAnsi="等线(中文正文)" w:cs="等线(中文正文)" w:eastAsia="等线(中文正文)"/>
          <w:b w:val="false"/>
          <w:i w:val="false"/>
          <w:sz w:val="20"/>
        </w:rPr>
        <w:t/>
      </w:r>
    </w:p>
    <w:p>
      <w:pPr>
        <w:pStyle w:val="ab"/>
      </w:pPr>
      <w:r>
        <w:t>发言人1 问：广州南的case情况如何？</w:t>
      </w:r>
    </w:p>
    <w:p>
      <w:r>
        <w:rPr>
          <w:rFonts w:ascii="等线(中文正文)" w:hAnsi="等线(中文正文)" w:cs="等线(中文正文)" w:eastAsia="等线(中文正文)"/>
          <w:b w:val="false"/>
          <w:i w:val="false"/>
          <w:sz w:val="20"/>
        </w:rPr>
        <w:t>发言人1 答：广州南的case情况被认为成功的概率较高，因为其重要终点并非功能性治愈比例，而是通过动态检测病毒载量下降至基线以下的比例，并且只需证明比核苷类药物的效果更好即可。由于低病毒血症对核苷类似物治疗无效，所以该三期试验的成功概率非常高。</w:t>
      </w:r>
    </w:p>
    <w:p>
      <w:r>
        <w:rPr>
          <w:rFonts w:ascii="等线(中文正文)" w:hAnsi="等线(中文正文)" w:cs="等线(中文正文)" w:eastAsia="等线(中文正文)"/>
          <w:b w:val="false"/>
          <w:i w:val="false"/>
          <w:sz w:val="20"/>
        </w:rPr>
        <w:t/>
      </w:r>
    </w:p>
    <w:p>
      <w:pPr>
        <w:pStyle w:val="ab"/>
      </w:pPr>
      <w:r>
        <w:t>发言人1 问：接下来有哪些推荐标的？</w:t>
      </w:r>
    </w:p>
    <w:p>
      <w:r>
        <w:rPr>
          <w:rFonts w:ascii="等线(中文正文)" w:hAnsi="等线(中文正文)" w:cs="等线(中文正文)" w:eastAsia="等线(中文正文)"/>
          <w:b w:val="false"/>
          <w:i w:val="false"/>
          <w:sz w:val="20"/>
        </w:rPr>
        <w:t>发言人1 答：推荐的标的有广仁堂、特普生物和中国生物制药，其中中国生物制药通过购买获得了JSK 836在中国区的销售权益。</w:t>
      </w:r>
    </w:p>
    <w:p>
      <w:r>
        <w:rPr>
          <w:rFonts w:ascii="等线(中文正文)" w:hAnsi="等线(中文正文)" w:cs="等线(中文正文)" w:eastAsia="等线(中文正文)"/>
          <w:b w:val="false"/>
          <w:i w:val="false"/>
          <w:sz w:val="20"/>
        </w:rPr>
        <w:t/>
      </w:r>
    </w:p>
    <w:p>
      <w:pPr>
        <w:pStyle w:val="ab"/>
      </w:pPr>
      <w:r>
        <w:t>发言人1 问：WCLC大会有哪些值得关注的更新？</w:t>
      </w:r>
    </w:p>
    <w:p>
      <w:r>
        <w:rPr>
          <w:rFonts w:ascii="等线(中文正文)" w:hAnsi="等线(中文正文)" w:cs="等线(中文正文)" w:eastAsia="等线(中文正文)"/>
          <w:b w:val="false"/>
          <w:i w:val="false"/>
          <w:sz w:val="20"/>
        </w:rPr>
        <w:t>发言人1 答：在WCLC大会上，重点讨论了创新药领域，特别是肺癌治疗方面的新进展。例如，因生物ADC与BMS共同开发的PDOVGF双抗药物在一线野生型非小细胞肺癌和小细胞肺癌中有新数据披露。此外，阿斯利康的PD-L1抑制剂realy在一线非小细胞肺癌中的单药治疗数据也引起了市场关注，尽管数据更新与去年EXO会议上的数据相比并无核心差异，但在部分患者群体中显示出轻微改善。</w:t>
      </w:r>
    </w:p>
    <w:p>
      <w:r>
        <w:rPr>
          <w:rFonts w:ascii="等线(中文正文)" w:hAnsi="等线(中文正文)" w:cs="等线(中文正文)" w:eastAsia="等线(中文正文)"/>
          <w:b w:val="false"/>
          <w:i w:val="false"/>
          <w:sz w:val="20"/>
        </w:rPr>
        <w:t/>
      </w:r>
    </w:p>
    <w:p>
      <w:pPr>
        <w:pStyle w:val="ab"/>
      </w:pPr>
      <w:r>
        <w:t>发言人1 问：对于阿斯利康PD-L1抑制剂realy在WCLC上的数据有何看法？</w:t>
      </w:r>
    </w:p>
    <w:p>
      <w:r>
        <w:rPr>
          <w:rFonts w:ascii="等线(中文正文)" w:hAnsi="等线(中文正文)" w:cs="等线(中文正文)" w:eastAsia="等线(中文正文)"/>
          <w:b w:val="false"/>
          <w:i w:val="false"/>
          <w:sz w:val="20"/>
        </w:rPr>
        <w:t>发言人1 答：对于realy产品在WCLC上更新的一线治疗数据，其在特定人群（GPS1到49）的ORR有所提升，DOR也有所延长。但在GPS50以上高表达人群中，尽管DOR有显著增长，但OS数据尚未成熟，存在一定的不确定性。综合来看，虽然有新数据读出，但目前对于该药物整体疗效的判断仍需更多数据支持。</w:t>
      </w:r>
    </w:p>
    <w:p>
      <w:r>
        <w:rPr>
          <w:rFonts w:ascii="等线(中文正文)" w:hAnsi="等线(中文正文)" w:cs="等线(中文正文)" w:eastAsia="等线(中文正文)"/>
          <w:b w:val="false"/>
          <w:i w:val="false"/>
          <w:sz w:val="20"/>
        </w:rPr>
        <w:t/>
      </w:r>
    </w:p>
    <w:p>
      <w:pPr>
        <w:pStyle w:val="ab"/>
      </w:pPr>
      <w:r>
        <w:t>发言人1 问：从当前数据来看，PT在肺癌上的表现是否有所转好，能否与去年的数据进行比较？</w:t>
      </w:r>
    </w:p>
    <w:p>
      <w:r>
        <w:rPr>
          <w:rFonts w:ascii="等线(中文正文)" w:hAnsi="等线(中文正文)" w:cs="等线(中文正文)" w:eastAsia="等线(中文正文)"/>
          <w:b w:val="false"/>
          <w:i w:val="false"/>
          <w:sz w:val="20"/>
        </w:rPr>
        <w:t>发言人1 答：根据现有的信息，由于样本数和事件数的限制，很难判断PT在肺癌上的OS（无进展生存期）是否有显著改善或与去年同期药物注册临床数据进行直接比较。尽管安全性层面两者相当，但目前的数据不足以支持PT在肺癌治疗上的明显优势。</w:t>
      </w:r>
    </w:p>
    <w:p>
      <w:r>
        <w:rPr>
          <w:rFonts w:ascii="等线(中文正文)" w:hAnsi="等线(中文正文)" w:cs="等线(中文正文)" w:eastAsia="等线(中文正文)"/>
          <w:b w:val="false"/>
          <w:i w:val="false"/>
          <w:sz w:val="20"/>
        </w:rPr>
        <w:t/>
      </w:r>
    </w:p>
    <w:p>
      <w:pPr>
        <w:pStyle w:val="ab"/>
      </w:pPr>
      <w:r>
        <w:t>发言人1 问：与荣昌生物的RC148在一线和二线非小细胞肺癌患者中的疗效相比，阿斯利康的药物表现如何？</w:t>
      </w:r>
    </w:p>
    <w:p>
      <w:r>
        <w:rPr>
          <w:rFonts w:ascii="等线(中文正文)" w:hAnsi="等线(中文正文)" w:cs="等线(中文正文)" w:eastAsia="等线(中文正文)"/>
          <w:b w:val="false"/>
          <w:i w:val="false"/>
          <w:sz w:val="20"/>
        </w:rPr>
        <w:t>发言人1 答：在荣昌生物的披露数据中，其在50以上人群中的ORR（客观缓解率）达到了8%，高于阿斯利康的68%；在1到49人群中的ORR为62%，也超过了ACFD抗的50%。此外，在六个月的PFS（进展-free survival）位置上，荣昌也表现优于阿斯利康。因此，当前数据并未提供足够的证据来确认批量提取的重要性。</w:t>
      </w:r>
    </w:p>
    <w:p>
      <w:r>
        <w:rPr>
          <w:rFonts w:ascii="等线(中文正文)" w:hAnsi="等线(中文正文)" w:cs="等线(中文正文)" w:eastAsia="等线(中文正文)"/>
          <w:b w:val="false"/>
          <w:i w:val="false"/>
          <w:sz w:val="20"/>
        </w:rPr>
        <w:t/>
      </w:r>
    </w:p>
    <w:p>
      <w:pPr>
        <w:pStyle w:val="ab"/>
      </w:pPr>
      <w:r>
        <w:t>发言人1 问：阿斯利康对于ref产品在肺癌领域的定位及其未来数据读出情况如何？</w:t>
      </w:r>
    </w:p>
    <w:p>
      <w:r>
        <w:rPr>
          <w:rFonts w:ascii="等线(中文正文)" w:hAnsi="等线(中文正文)" w:cs="等线(中文正文)" w:eastAsia="等线(中文正文)"/>
          <w:b w:val="false"/>
          <w:i w:val="false"/>
          <w:sz w:val="20"/>
        </w:rPr>
        <w:t>发言人1 答：目前，阿斯利康尚未披露关于ref产品在肺癌领域的最新摘要数据，包括与化疗联用或与其他产品联用的效果。从今年中报的情况看，我们无法预期到明确的数据读出时间表，所以对于该靶点的重要性仍存在疑虑。</w:t>
      </w:r>
    </w:p>
    <w:p>
      <w:r>
        <w:rPr>
          <w:rFonts w:ascii="等线(中文正文)" w:hAnsi="等线(中文正文)" w:cs="等线(中文正文)" w:eastAsia="等线(中文正文)"/>
          <w:b w:val="false"/>
          <w:i w:val="false"/>
          <w:sz w:val="20"/>
        </w:rPr>
        <w:t/>
      </w:r>
    </w:p>
    <w:p>
      <w:pPr>
        <w:pStyle w:val="ab"/>
      </w:pPr>
      <w:r>
        <w:t>发言人1 问：对于泽景产品的发展逻辑有何不同？</w:t>
      </w:r>
    </w:p>
    <w:p>
      <w:r>
        <w:rPr>
          <w:rFonts w:ascii="等线(中文正文)" w:hAnsi="等线(中文正文)" w:cs="等线(中文正文)" w:eastAsia="等线(中文正文)"/>
          <w:b w:val="false"/>
          <w:i w:val="false"/>
          <w:sz w:val="20"/>
        </w:rPr>
        <w:t>发言人1 答：泽景产品的逻辑可能与其他公司不同，主要是考虑到两家公司体量差异，以及将有限的资金投入到更具价值和差异化的适应症上。因此，泽景重点推向一线肝癌治疗。</w:t>
      </w:r>
    </w:p>
    <w:p>
      <w:r>
        <w:rPr>
          <w:rFonts w:ascii="等线(中文正文)" w:hAnsi="等线(中文正文)" w:cs="等线(中文正文)" w:eastAsia="等线(中文正文)"/>
          <w:b w:val="false"/>
          <w:i w:val="false"/>
          <w:sz w:val="20"/>
        </w:rPr>
        <w:t/>
      </w:r>
    </w:p>
    <w:p>
      <w:pPr>
        <w:pStyle w:val="ab"/>
      </w:pPr>
      <w:r>
        <w:t>发言人1 问：对于信达生物的信单抗在BCLC组织中的PD-1升级到P2T表现，以及德信生物005产品的发展潜力如何看待？</w:t>
      </w:r>
    </w:p>
    <w:p>
      <w:r>
        <w:rPr>
          <w:rFonts w:ascii="等线(中文正文)" w:hAnsi="等线(中文正文)" w:cs="等线(中文正文)" w:eastAsia="等线(中文正文)"/>
          <w:b w:val="false"/>
          <w:i w:val="false"/>
          <w:sz w:val="20"/>
        </w:rPr>
        <w:t>发言人1 答：信达生物的信单抗在BCLC组织中的数据表现良好，具有潜在价值。德信生物的005产品在适应症的未来中国至全球市场的可拓展性方面有机会，但仍需逐步验证。</w:t>
      </w:r>
    </w:p>
    <w:p>
      <w:r>
        <w:rPr>
          <w:rFonts w:ascii="等线(中文正文)" w:hAnsi="等线(中文正文)" w:cs="等线(中文正文)" w:eastAsia="等线(中文正文)"/>
          <w:b w:val="false"/>
          <w:i w:val="false"/>
          <w:sz w:val="20"/>
        </w:rPr>
        <w:t/>
      </w:r>
    </w:p>
    <w:p>
      <w:pPr>
        <w:pStyle w:val="ab"/>
      </w:pPr>
      <w:r>
        <w:t>发言人1 问：针对肝癌领域，如何评估不同PD-1抗体组合的差异性？</w:t>
      </w:r>
    </w:p>
    <w:p>
      <w:r>
        <w:rPr>
          <w:rFonts w:ascii="等线(中文正文)" w:hAnsi="等线(中文正文)" w:cs="等线(中文正文)" w:eastAsia="等线(中文正文)"/>
          <w:b w:val="false"/>
          <w:i w:val="false"/>
          <w:sz w:val="20"/>
        </w:rPr>
        <w:t>发言人1 答：中国和海外肝癌的致病机制可能存在差异，中国更偏向于乙肝致病机制，而海外则多见丙肝及非碱性脂肪肝等。因此，在评估如批量T指的白点组合时，应考虑不同产品代表的不同差异化路径，并对阿斯利康在肺癌领域的布局持审慎态度，等待进一步的联合用药数据验证其成长潜力。</w:t>
      </w:r>
    </w:p>
    <w:p>
      <w:r>
        <w:rPr>
          <w:rFonts w:ascii="等线(中文正文)" w:hAnsi="等线(中文正文)" w:cs="等线(中文正文)" w:eastAsia="等线(中文正文)"/>
          <w:b w:val="false"/>
          <w:i w:val="false"/>
          <w:sz w:val="20"/>
        </w:rPr>
        <w:t/>
      </w:r>
    </w:p>
    <w:p>
      <w:pPr>
        <w:pStyle w:val="ab"/>
      </w:pPr>
      <w:r>
        <w:t>发言人1 问：博士生物PPX912与信达RV303的可比性如何？</w:t>
      </w:r>
    </w:p>
    <w:p>
      <w:r>
        <w:rPr>
          <w:rFonts w:ascii="等线(中文正文)" w:hAnsi="等线(中文正文)" w:cs="等线(中文正文)" w:eastAsia="等线(中文正文)"/>
          <w:b w:val="false"/>
          <w:i w:val="false"/>
          <w:sz w:val="20"/>
        </w:rPr>
        <w:t>发言人1 答：博士生物PPX912在WCLC大会上披露的爬坡期数据显示，其早期可评估患者数量较少，但初步数据显示与信达RV303存在一定的可比性。然而，由于发展阶段较晚且治疗线数不明确，尚无法直接判断两者之间的优劣。</w:t>
      </w:r>
    </w:p>
    <w:p>
      <w:r>
        <w:rPr>
          <w:rFonts w:ascii="等线(中文正文)" w:hAnsi="等线(中文正文)" w:cs="等线(中文正文)" w:eastAsia="等线(中文正文)"/>
          <w:b w:val="false"/>
          <w:i w:val="false"/>
          <w:sz w:val="20"/>
        </w:rPr>
        <w:t/>
      </w:r>
    </w:p>
    <w:p>
      <w:pPr>
        <w:pStyle w:val="ab"/>
      </w:pPr>
      <w:r>
        <w:t>发言人1 问：363药物在安全性方面的表现如何，尤其是在长期用药后的毒性反应上？</w:t>
      </w:r>
    </w:p>
    <w:p>
      <w:r>
        <w:rPr>
          <w:rFonts w:ascii="等线(中文正文)" w:hAnsi="等线(中文正文)" w:cs="等线(中文正文)" w:eastAsia="等线(中文正文)"/>
          <w:b w:val="false"/>
          <w:i w:val="false"/>
          <w:sz w:val="20"/>
        </w:rPr>
        <w:t>发言人1 答：363药物由于用药时长相对较长，其PFS可达10个月，与部分一线治疗方案相当。在363药物的随访研究中，发现其毒性反应需要较长时间（如2024年至2026年）才能明确是否达到平台期。在2025年时，363药物已基本达到毒性平台期，而2026年的数据显示并未有明显的提升，表明毒性已相对稳定。</w:t>
      </w:r>
    </w:p>
    <w:p>
      <w:r>
        <w:rPr>
          <w:rFonts w:ascii="等线(中文正文)" w:hAnsi="等线(中文正文)" w:cs="等线(中文正文)" w:eastAsia="等线(中文正文)"/>
          <w:b w:val="false"/>
          <w:i w:val="false"/>
          <w:sz w:val="20"/>
        </w:rPr>
        <w:t/>
      </w:r>
    </w:p>
    <w:p>
      <w:pPr>
        <w:pStyle w:val="ab"/>
      </w:pPr>
      <w:r>
        <w:t>发言人1 问：目前对于363药物在0I阶段的毒性反应管理情况如何？未来剂量调整有何趋势？</w:t>
      </w:r>
    </w:p>
    <w:p>
      <w:r>
        <w:rPr>
          <w:rFonts w:ascii="等线(中文正文)" w:hAnsi="等线(中文正文)" w:cs="等线(中文正文)" w:eastAsia="等线(中文正文)"/>
          <w:b w:val="false"/>
          <w:i w:val="false"/>
          <w:sz w:val="20"/>
        </w:rPr>
        <w:t>发言人1 答：目前363药物在0I阶段在中国和美国启动了注册临床试验，早期临床数据显示皮疹和关节痛的发生率约为19%和7%，三级以上不良反应逐渐有一套成熟的管理方案。后续产品剂量可能聚焦在2到4毫克每公斤，并且给药频率为每两周一次，与363药物的给药方式有所不同。</w:t>
      </w:r>
    </w:p>
    <w:p>
      <w:r>
        <w:rPr>
          <w:rFonts w:ascii="等线(中文正文)" w:hAnsi="等线(中文正文)" w:cs="等线(中文正文)" w:eastAsia="等线(中文正文)"/>
          <w:b w:val="false"/>
          <w:i w:val="false"/>
          <w:sz w:val="20"/>
        </w:rPr>
        <w:t/>
      </w:r>
    </w:p>
    <w:p>
      <w:pPr>
        <w:pStyle w:val="ab"/>
      </w:pPr>
      <w:r>
        <w:t>发言人1 问：国产同类药物在L精致资源利用方面有何共性，以及对PD-1双板的关注点是什么？</w:t>
      </w:r>
    </w:p>
    <w:p>
      <w:r>
        <w:rPr>
          <w:rFonts w:ascii="等线(中文正文)" w:hAnsi="等线(中文正文)" w:cs="等线(中文正文)" w:eastAsia="等线(中文正文)"/>
          <w:b w:val="false"/>
          <w:i w:val="false"/>
          <w:sz w:val="20"/>
        </w:rPr>
        <w:t>发言人1 答：国产批量无人监护产品在L精致资源利用上常采用类似策略，包括PDPK one方BB等在内的多个产品都在进行组合治疗的研究。对PD-1双板的关注点在于其在后线ADC治疗中的头对头失败案例较多，显示出在疗效上的显著差异性较小。尽管PD-1在肺癌等领域是后线治疗的标准方案，但停药率较高，特别是在中国亚裔人群中的减量使用现象明显，这会影响药物的安全性和有效性。</w:t>
      </w:r>
    </w:p>
    <w:p>
      <w:r>
        <w:rPr>
          <w:rFonts w:ascii="等线(中文正文)" w:hAnsi="等线(中文正文)" w:cs="等线(中文正文)" w:eastAsia="等线(中文正文)"/>
          <w:b w:val="false"/>
          <w:i w:val="false"/>
          <w:sz w:val="20"/>
        </w:rPr>
        <w:t/>
      </w:r>
    </w:p>
    <w:p>
      <w:pPr>
        <w:pStyle w:val="ab"/>
      </w:pPr>
      <w:r>
        <w:t>发言人1 问：卡通盈利（此处可能指代某特定药物或组合疗法）在安全性及疗效上的表现如何？</w:t>
      </w:r>
    </w:p>
    <w:p>
      <w:r>
        <w:rPr>
          <w:rFonts w:ascii="等线(中文正文)" w:hAnsi="等线(中文正文)" w:cs="等线(中文正文)" w:eastAsia="等线(中文正文)"/>
          <w:b w:val="false"/>
          <w:i w:val="false"/>
          <w:sz w:val="20"/>
        </w:rPr>
        <w:t>发言人1 答：从目前的数据来看，卡通盈利的毒性反应并不比卡林尼显著提升，TEAE（治疗期间相关不良反应）发生率相近。然而，在疗效层面有显著提升，如OR从9%提升到32%，DCI从50%提升到85%，PFS从3.6个月提升到7.8个月，OS也有明显增长。整体上，卡托尼作为二线参赛药物，在疗效指标上展现出良好的前景。</w:t>
      </w:r>
    </w:p>
    <w:p>
      <w:r>
        <w:rPr>
          <w:rFonts w:ascii="等线(中文正文)" w:hAnsi="等线(中文正文)" w:cs="等线(中文正文)" w:eastAsia="等线(中文正文)"/>
          <w:b w:val="false"/>
          <w:i w:val="false"/>
          <w:sz w:val="20"/>
        </w:rPr>
        <w:t/>
      </w:r>
    </w:p>
    <w:p>
      <w:pPr>
        <w:pStyle w:val="ab"/>
      </w:pPr>
      <w:r>
        <w:t>发言人1 问：对于未来PD-1双抗药物通过联用改善后线批量精致治疗的效果如何预期？</w:t>
      </w:r>
    </w:p>
    <w:p>
      <w:r>
        <w:rPr>
          <w:rFonts w:ascii="等线(中文正文)" w:hAnsi="等线(中文正文)" w:cs="等线(中文正文)" w:eastAsia="等线(中文正文)"/>
          <w:b w:val="false"/>
          <w:i w:val="false"/>
          <w:sz w:val="20"/>
        </w:rPr>
        <w:t>发言人1 答：未来PD-1双抗药物通过与金标准方案如都他莫法联用，在治疗后线批量精致部分上展现出较好的前景。除了已披露的数据外，还需要关注更多类似的临床研究数据，尤其是国内的PV双抗和VF的研究进展，尽管优先性可能不如一线应用，但仍值得关注。</w:t>
      </w:r>
    </w:p>
    <w:p>
      <w:r>
        <w:rPr>
          <w:rFonts w:ascii="等线(中文正文)" w:hAnsi="等线(中文正文)" w:cs="等线(中文正文)" w:eastAsia="等线(中文正文)"/>
          <w:b w:val="false"/>
          <w:i w:val="false"/>
          <w:sz w:val="20"/>
        </w:rPr>
        <w:t/>
      </w:r>
    </w:p>
    <w:p>
      <w:pPr>
        <w:pStyle w:val="ab"/>
      </w:pPr>
      <w:r>
        <w:t>发言人1 问：在肺癌治疗领域，新一代CPV four药物的临床试验结果如何？</w:t>
      </w:r>
    </w:p>
    <w:p>
      <w:r>
        <w:rPr>
          <w:rFonts w:ascii="等线(中文正文)" w:hAnsi="等线(中文正文)" w:cs="等线(中文正文)" w:eastAsia="等线(中文正文)"/>
          <w:b w:val="false"/>
          <w:i w:val="false"/>
          <w:sz w:val="20"/>
        </w:rPr>
        <w:t>发言人1 答：新一代CPV four药物在与新一代免疫疗法的头对头注册临床试验中表现出色。该药物由泰克公司与昂科免疫合作开发，在美国启动注册临床试验时间早于信达生物，并在去年12月披露了 preserve 003 第一阶段数据。数据显示，CPV four在PFS（无进展生存期）方面与多西他赛相当甚至优于多西他赛，且PFS率在该阶段就达到了25%至0%，显示出对疾病进展的良好控制。此外，尽管整体PR（客观缓解率）不长，但针对部分患者（约25%）能有效控制疾病进展，并在OS（总生存期）层面上取得了显著成果，OS HR（死亡风险比）仅为0.2%，意味着降低了54%的死亡风险。</w:t>
      </w:r>
    </w:p>
    <w:p>
      <w:r>
        <w:rPr>
          <w:rFonts w:ascii="等线(中文正文)" w:hAnsi="等线(中文正文)" w:cs="等线(中文正文)" w:eastAsia="等线(中文正文)"/>
          <w:b w:val="false"/>
          <w:i w:val="false"/>
          <w:sz w:val="20"/>
        </w:rPr>
        <w:t/>
      </w:r>
    </w:p>
    <w:p>
      <w:pPr>
        <w:pStyle w:val="ab"/>
      </w:pPr>
      <w:r>
        <w:t>发言人1 问：新一代CPV four药物在不同阶段的试验设计和进展如何？</w:t>
      </w:r>
    </w:p>
    <w:p>
      <w:r>
        <w:rPr>
          <w:rFonts w:ascii="等线(中文正文)" w:hAnsi="等线(中文正文)" w:cs="等线(中文正文)" w:eastAsia="等线(中文正文)"/>
          <w:b w:val="false"/>
          <w:i w:val="false"/>
          <w:sz w:val="20"/>
        </w:rPr>
        <w:t>发言人1 答：新一代CPV four药物在第一阶段试验中包含了两种不同的给药方式，重点测试了当前给药剂量（约100粒）。第二阶段试验则选择了最佳给药方案，即10毫克每公斤体重，每三周给药两次周期，之后转为维持方案。第二阶段试验样本量达到249例患者，预计在今年一季度末会有相关数据发布。今年内，可能会有接近100例患者的OS数据成熟度，同时也会公布第二阶段249例患者集中分析的数据，这有可能使该药物成为全球首个获批用于治疗IO金质耐药的肺鳞癌的产品。</w:t>
      </w:r>
    </w:p>
    <w:p>
      <w:r>
        <w:rPr>
          <w:rFonts w:ascii="等线(中文正文)" w:hAnsi="等线(中文正文)" w:cs="等线(中文正文)" w:eastAsia="等线(中文正文)"/>
          <w:b w:val="false"/>
          <w:i w:val="false"/>
          <w:sz w:val="20"/>
        </w:rPr>
        <w:t/>
      </w:r>
    </w:p>
    <w:p>
      <w:pPr>
        <w:pStyle w:val="ab"/>
      </w:pPr>
      <w:r>
        <w:t>发言人1 问：对于广泛性小细胞肺癌，有哪些新的治疗数据值得关注？</w:t>
      </w:r>
    </w:p>
    <w:p>
      <w:r>
        <w:rPr>
          <w:rFonts w:ascii="等线(中文正文)" w:hAnsi="等线(中文正文)" w:cs="等线(中文正文)" w:eastAsia="等线(中文正文)"/>
          <w:b w:val="false"/>
          <w:i w:val="false"/>
          <w:sz w:val="20"/>
        </w:rPr>
        <w:t>发言人1 答：在一线广泛性小细胞肺癌治疗方面，齐鲁制药与明宇制药合作开发的BCIADC与PD-1抑制剂的固定剂量组合展现出了早期积极效果。尽管数据尚不成熟，但初步数据显示，无论是连用固定计量组合还是新一代生物类似物，OR（客观缓解率）均为百分之百，DCR（部分缓解率）达到52例患者中的百分之百。随着更多数据的积累，这类双靶向疗法组合有望在一线治疗中实现疗效天花板级别的提升。同时，齐鲁和明宇的产品组合显示出较低的三级及以上不良反应率，这也体现了新一代CKA相比传统单抗药物在安全性方面的显著改善。</w:t>
      </w:r>
    </w:p>
    <w:p>
      <w:r>
        <w:rPr>
          <w:rFonts w:ascii="等线(中文正文)" w:hAnsi="等线(中文正文)" w:cs="等线(中文正文)" w:eastAsia="等线(中文正文)"/>
          <w:b w:val="false"/>
          <w:i w:val="false"/>
          <w:sz w:val="20"/>
        </w:rPr>
        <w:t/>
      </w:r>
    </w:p>
    <w:p>
      <w:pPr>
        <w:pStyle w:val="ab"/>
      </w:pPr>
      <w:r>
        <w:t>发言人1 问：WCLC会议上还有哪些其他值得关注的肺癌治疗进展？</w:t>
      </w:r>
    </w:p>
    <w:p>
      <w:r>
        <w:rPr>
          <w:rFonts w:ascii="等线(中文正文)" w:hAnsi="等线(中文正文)" w:cs="等线(中文正文)" w:eastAsia="等线(中文正文)"/>
          <w:b w:val="false"/>
          <w:i w:val="false"/>
          <w:sz w:val="20"/>
        </w:rPr>
        <w:t>发言人1 答：在WCLC会议上，还有多个肺癌治疗领域的进展值得关注。例如，EVOG 03临床试验未能达到主要终点，以及公共点com的研究也宣告失败，这为我们提供了进一步了解失败原因的机会。此外，石药集团的医学研发项目、百济神州的靶向药等均有新的临床数据更新。未来，我们将持续关注如PRP、靶向疗法等其他热点领域在WCLC会议上发布的最新研究成果和应用动态，并实时更新相关数据信息。</w:t>
      </w:r>
    </w:p>
    <w:p>
      <w:r>
        <w:rPr>
          <w:rFonts w:ascii="等线(中文正文)" w:hAnsi="等线(中文正文)" w:cs="等线(中文正文)" w:eastAsia="等线(中文正文)"/>
          <w:b w:val="false"/>
          <w:i w:val="false"/>
          <w:sz w:val="20"/>
        </w:rPr>
        <w:t/>
      </w:r>
    </w:p>
  </w:body>
</w:document>
</file>

<file path=word/numbering.xml><?xml version="1.0" encoding="utf-8"?>
<w:numbering xmlns:w="http://schemas.openxmlformats.org/wordprocessingml/2006/main">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bering>
</file>

<file path=word/settings.xml><?xml version="1.0" encoding="utf-8"?>
<w:settings xmlns:w="http://schemas.openxmlformats.org/wordprocessingml/2006/main"/>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3139B0"/>
    <w:pPr>
      <w:widowControl w:val="0"/>
      <w:spacing w:line="360" w:lineRule="auto"/>
      <w:jc w:val="both"/>
    </w:pPr>
    <w:rPr>
      <w:color w:val="404040" w:themeColor="text1" w:themeTint="BF"/>
    </w:rPr>
  </w:style>
  <w:style w:type="paragraph" w:styleId="2">
    <w:name w:val="heading 2"/>
    <w:basedOn w:val="a0"/>
    <w:next w:val="a0"/>
    <w:link w:val="21"/>
    <w:uiPriority w:val="9"/>
    <w:unhideWhenUsed/>
    <w:qFormat/>
    <w:rsid w:val="006267B3"/>
    <w:pPr>
      <w:keepNext/>
      <w:keepLines/>
      <w:spacing w:before="260" w:after="260" w:line="416" w:lineRule="auto"/>
      <w:jc w:val="left"/>
      <w:outlineLvl w:val="1"/>
    </w:pPr>
    <w:rPr>
      <w:rFonts w:asciiTheme="majorHAnsi" w:hAnsiTheme="majorHAnsi" w:cstheme="majorBidi"/>
      <w:bCs/>
      <w:color w:val="27264D"/>
      <w:sz w:val="30"/>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Title"/>
    <w:basedOn w:val="a0"/>
    <w:next w:val="a0"/>
    <w:link w:val="a5"/>
    <w:uiPriority w:val="10"/>
    <w:qFormat/>
    <w:rsid w:val="008E22A6"/>
    <w:pPr>
      <w:spacing w:before="240" w:after="60"/>
      <w:jc w:val="center"/>
      <w:outlineLvl w:val="0"/>
    </w:pPr>
    <w:rPr>
      <w:rFonts w:asciiTheme="majorHAnsi" w:eastAsiaTheme="majorEastAsia" w:hAnsiTheme="majorHAnsi" w:cstheme="majorBidi"/>
      <w:b/>
      <w:bCs/>
      <w:sz w:val="32"/>
      <w:szCs w:val="32"/>
    </w:rPr>
  </w:style>
  <w:style w:type="character" w:customStyle="1" w:styleId="a5">
    <w:name w:val="标题 字符"/>
    <w:basedOn w:val="a1"/>
    <w:link w:val="a4"/>
    <w:uiPriority w:val="10"/>
    <w:rsid w:val="008E22A6"/>
    <w:rPr>
      <w:rFonts w:asciiTheme="majorHAnsi" w:eastAsiaTheme="majorEastAsia" w:hAnsiTheme="majorHAnsi" w:cstheme="majorBidi"/>
      <w:b/>
      <w:bCs/>
      <w:sz w:val="32"/>
      <w:szCs w:val="32"/>
    </w:rPr>
  </w:style>
  <w:style w:type="character" w:customStyle="1" w:styleId="21">
    <w:name w:val="标题 2 字符"/>
    <w:basedOn w:val="a1"/>
    <w:link w:val="2"/>
    <w:uiPriority w:val="9"/>
    <w:rsid w:val="006267B3"/>
    <w:rPr>
      <w:rFonts w:asciiTheme="majorHAnsi" w:eastAsia="微软雅黑" w:hAnsiTheme="majorHAnsi" w:cstheme="majorBidi"/>
      <w:bCs/>
      <w:color w:val="27264D"/>
      <w:sz w:val="30"/>
      <w:szCs w:val="32"/>
    </w:rPr>
  </w:style>
  <w:style w:type="character" w:styleId="a6">
    <w:name w:val="Strong"/>
    <w:basedOn w:val="a1"/>
    <w:uiPriority w:val="22"/>
    <w:qFormat/>
    <w:rsid w:val="006267B3"/>
    <w:rPr>
      <w:rFonts w:eastAsia="微软雅黑"/>
      <w:b/>
      <w:bCs/>
      <w:i w:val="0"/>
      <w:color w:val="27264D"/>
    </w:rPr>
  </w:style>
  <w:style w:type="paragraph" w:customStyle="1" w:styleId="a7">
    <w:name w:val="一级标题"/>
    <w:basedOn w:val="a8"/>
    <w:autoRedefine/>
    <w:qFormat/>
    <w:rsid w:val="00511359"/>
    <w:pPr>
      <w:jc w:val="left"/>
    </w:pPr>
    <w:rPr>
      <w:bCs w:val="0"/>
      <w:color w:val="000000" w:themeColor="text1"/>
      <w:sz w:val="30"/>
    </w:rPr>
  </w:style>
  <w:style w:type="paragraph" w:styleId="a8">
    <w:name w:val="Subtitle"/>
    <w:basedOn w:val="a0"/>
    <w:next w:val="a0"/>
    <w:link w:val="a9"/>
    <w:uiPriority w:val="11"/>
    <w:qFormat/>
    <w:rsid w:val="006267B3"/>
    <w:pPr>
      <w:spacing w:before="240" w:after="60" w:line="312" w:lineRule="auto"/>
      <w:jc w:val="center"/>
      <w:outlineLvl w:val="1"/>
    </w:pPr>
    <w:rPr>
      <w:b/>
      <w:bCs/>
      <w:kern w:val="28"/>
      <w:sz w:val="32"/>
      <w:szCs w:val="32"/>
    </w:rPr>
  </w:style>
  <w:style w:type="character" w:customStyle="1" w:styleId="a9">
    <w:name w:val="副标题 字符"/>
    <w:basedOn w:val="a1"/>
    <w:link w:val="a8"/>
    <w:uiPriority w:val="11"/>
    <w:rsid w:val="006267B3"/>
    <w:rPr>
      <w:b/>
      <w:bCs/>
      <w:color w:val="474667"/>
      <w:kern w:val="28"/>
      <w:sz w:val="32"/>
      <w:szCs w:val="32"/>
    </w:rPr>
  </w:style>
  <w:style w:type="paragraph" w:customStyle="1" w:styleId="aa">
    <w:name w:val="标签"/>
    <w:basedOn w:val="ab"/>
    <w:qFormat/>
    <w:rsid w:val="00865510"/>
    <w:rPr>
      <w:szCs w:val="21"/>
    </w:rPr>
  </w:style>
  <w:style w:type="paragraph" w:customStyle="1" w:styleId="a">
    <w:name w:val="时间戳+章节"/>
    <w:basedOn w:val="a0"/>
    <w:qFormat/>
    <w:rsid w:val="00D86193"/>
    <w:pPr>
      <w:numPr>
        <w:numId w:val="17"/>
      </w:numPr>
    </w:pPr>
  </w:style>
  <w:style w:type="paragraph" w:customStyle="1" w:styleId="ac">
    <w:name w:val="大标题"/>
    <w:basedOn w:val="a4"/>
    <w:autoRedefine/>
    <w:qFormat/>
    <w:rsid w:val="00511359"/>
    <w:rPr>
      <w:rFonts w:asciiTheme="minorHAnsi" w:eastAsiaTheme="minorEastAsia" w:hAnsiTheme="minorHAnsi"/>
      <w:color w:val="000000" w:themeColor="text1"/>
      <w:sz w:val="36"/>
      <w:szCs w:val="36"/>
    </w:rPr>
  </w:style>
  <w:style w:type="paragraph" w:customStyle="1" w:styleId="ab">
    <w:name w:val="二级正文"/>
    <w:basedOn w:val="a0"/>
    <w:qFormat/>
    <w:rsid w:val="00F069C6"/>
    <w:rPr>
      <w:b/>
    </w:rPr>
  </w:style>
  <w:style w:type="numbering" w:customStyle="1" w:styleId="1">
    <w:name w:val="当前列表1"/>
    <w:uiPriority w:val="99"/>
    <w:rsid w:val="00C07DA3"/>
  </w:style>
  <w:style w:type="numbering" w:customStyle="1" w:styleId="22">
    <w:name w:val="当前列表2"/>
    <w:uiPriority w:val="99"/>
    <w:rsid w:val="00C07DA3"/>
  </w:style>
  <w:style w:type="numbering" w:customStyle="1" w:styleId="3">
    <w:name w:val="当前列表3"/>
    <w:uiPriority w:val="99"/>
    <w:rsid w:val="00C07DA3"/>
  </w:style>
  <w:style w:type="numbering" w:customStyle="1" w:styleId="4">
    <w:name w:val="当前列表4"/>
    <w:uiPriority w:val="99"/>
    <w:rsid w:val="00C07DA3"/>
  </w:style>
  <w:style w:type="numbering" w:customStyle="1" w:styleId="5">
    <w:name w:val="当前列表5"/>
    <w:uiPriority w:val="99"/>
    <w:rsid w:val="00C07DA3"/>
  </w:style>
  <w:style w:type="numbering" w:customStyle="1" w:styleId="6">
    <w:name w:val="当前列表6"/>
    <w:uiPriority w:val="99"/>
    <w:rsid w:val="00C07DA3"/>
  </w:style>
  <w:style w:type="numbering" w:customStyle="1" w:styleId="7">
    <w:name w:val="当前列表7"/>
    <w:uiPriority w:val="99"/>
    <w:rsid w:val="00C07DA3"/>
  </w:style>
  <w:style w:type="numbering" w:customStyle="1" w:styleId="8">
    <w:name w:val="当前列表8"/>
    <w:uiPriority w:val="99"/>
    <w:rsid w:val="00933C9B"/>
  </w:style>
  <w:style w:type="numbering" w:customStyle="1" w:styleId="9">
    <w:name w:val="当前列表9"/>
    <w:uiPriority w:val="99"/>
    <w:rsid w:val="00933C9B"/>
  </w:style>
  <w:style w:type="numbering" w:customStyle="1" w:styleId="10">
    <w:name w:val="当前列表10"/>
    <w:uiPriority w:val="99"/>
    <w:rsid w:val="00933C9B"/>
  </w:style>
  <w:style w:type="numbering" w:customStyle="1" w:styleId="11">
    <w:name w:val="当前列表11"/>
    <w:uiPriority w:val="99"/>
    <w:rsid w:val="00933C9B"/>
  </w:style>
  <w:style w:type="numbering" w:customStyle="1" w:styleId="12">
    <w:name w:val="当前列表12"/>
    <w:uiPriority w:val="99"/>
    <w:rsid w:val="00933C9B"/>
  </w:style>
  <w:style w:type="numbering" w:customStyle="1" w:styleId="13">
    <w:name w:val="当前列表13"/>
    <w:uiPriority w:val="99"/>
    <w:rsid w:val="00774E72"/>
  </w:style>
  <w:style w:type="numbering" w:customStyle="1" w:styleId="14">
    <w:name w:val="当前列表14"/>
    <w:uiPriority w:val="99"/>
    <w:rsid w:val="00774E72"/>
  </w:style>
  <w:style w:type="numbering" w:customStyle="1" w:styleId="15">
    <w:name w:val="当前列表15"/>
    <w:uiPriority w:val="99"/>
    <w:rsid w:val="00774E72"/>
  </w:style>
  <w:style w:type="numbering" w:customStyle="1" w:styleId="16">
    <w:name w:val="当前列表16"/>
    <w:uiPriority w:val="99"/>
    <w:rsid w:val="00774E72"/>
  </w:style>
  <w:style w:type="numbering" w:customStyle="1" w:styleId="17">
    <w:name w:val="当前列表17"/>
    <w:uiPriority w:val="99"/>
    <w:rsid w:val="00774E72"/>
  </w:style>
  <w:style w:type="numbering" w:customStyle="1" w:styleId="18">
    <w:name w:val="当前列表18"/>
    <w:uiPriority w:val="99"/>
    <w:rsid w:val="00774E72"/>
  </w:style>
  <w:style w:type="numbering" w:customStyle="1" w:styleId="19">
    <w:name w:val="当前列表19"/>
    <w:uiPriority w:val="99"/>
    <w:rsid w:val="00774E72"/>
  </w:style>
  <w:style w:type="numbering" w:customStyle="1" w:styleId="20">
    <w:name w:val="当前列表20"/>
    <w:uiPriority w:val="99"/>
    <w:rsid w:val="00865510"/>
    <w:pPr>
      <w:numPr>
        <w:numId w:val="44"/>
      </w:numPr>
    </w:pPr>
  </w:style>
</w:styles>
</file>

<file path=word/_rels/document.xml.rels><?xml version="1.0" encoding="UTF-8" standalone="yes"?><Relationships xmlns="http://schemas.openxmlformats.org/package/2006/relationships"><Relationship Id="rId1" Target="settings.xml" Type="http://schemas.openxmlformats.org/officeDocument/2006/relationships/settings"/><Relationship Id="rId2" Target="numbering.xml" Type="http://schemas.openxmlformats.org/officeDocument/2006/relationships/numbering"/><Relationship Id="rId3" Target="styles.xml" Type="http://schemas.openxmlformats.org/officeDocument/2006/relationships/styles"/></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2026-08-23T14:14:42Z</dcterms:created>
  <dc:creator>Apache POI</dc:creator>
</cp:coreProperties>
</file>