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光大期货 总监面对面——宏观扰动与产业逻辑交织下的商品走势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美联储 加息 美债 通胀 黄金 美股 信贷 社融 政府债 企业债 LPR 货币政策 黑色板块 焦煤 螺纹钢 铁矿 供给端 安全检查 蒙古 燃料油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当前市场环境下，光纤研究专家们集中讨论了商品走势受宏观扰动与产业逻辑双重影响的状况，特别关注贵金属、能源、农产品及黑色金属原料等领域的商品波动。这些商品的价格受到国际宏观状态、通胀预期、美联储政策前景等多重因素的影响，呈现出显著的波动性。讨论中，专家们还强调了关注美国财政、货币政策及地缘政治因素对商品价格潜在影响的重要性。特别分析了原油、沥青、乙醇、糖和棉花等特定商品的市场表现和未来预期，考虑了天气、供需状况和库存水平对价格的可能影响。整体而言，对话内容深入探讨了宏观经济背景和市场动态，为投资者提供了当前市场趋势的见解和策略建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宏观扰动与商品走势：加息预期与债务管理的影响</w:t>
      </w:r>
    </w:p>
    <w:p>
      <w:r>
        <w:rPr>
          <w:rFonts w:ascii="等线(中文正文)" w:hAnsi="等线(中文正文)" w:cs="等线(中文正文)" w:eastAsia="等线(中文正文)"/>
          <w:b w:val="false"/>
          <w:i w:val="false"/>
          <w:sz w:val="20"/>
        </w:rPr>
        <w:t>对话探讨了宏观扰动对商品市场的影响，重点分析了美联储加息预期的转变、美债规模的扩大及其对长期融资成本的影响。美国财政部通过扩大长期国债回购规模来优化债务结构，但市场担忧高赤字带来的供给冲击。美联储会议纪要显示，多数委员认为通胀风险偏高，存在再次加息的可能性，这否定了快速降息的预期。整体来看，高利率维持更久的交易逻辑再次回归，九月份维持利率不变成为基准情形。</w:t>
      </w:r>
    </w:p>
    <w:p>
      <w:r>
        <w:rPr>
          <w:rFonts w:ascii="等线(中文正文)" w:hAnsi="等线(中文正文)" w:cs="等线(中文正文)" w:eastAsia="等线(中文正文)"/>
          <w:b w:val="false"/>
          <w:i w:val="false"/>
          <w:sz w:val="20"/>
        </w:rPr>
        <w:t/>
      </w:r>
    </w:p>
    <w:p>
      <w:pPr>
        <w:pStyle w:val="ab"/>
        <w:numPr>
          <w:numId w:val="2"/>
        </w:numPr>
      </w:pPr>
      <w:r>
        <w:t>04:19 美国经济数据与市场反应影响未来预期</w:t>
      </w:r>
    </w:p>
    <w:p>
      <w:r>
        <w:rPr>
          <w:rFonts w:ascii="等线(中文正文)" w:hAnsi="等线(中文正文)" w:cs="等线(中文正文)" w:eastAsia="等线(中文正文)"/>
          <w:b w:val="false"/>
          <w:i w:val="false"/>
          <w:sz w:val="20"/>
        </w:rPr>
        <w:t>近期美国经济数据如零售销售、通胀和制造业PMI显示承压迹象，长端利率震荡，美元承压，黄金反弹，美股板块分化。下周全球央行年会及7月PCE通胀数据将影响美联储预期。</w:t>
      </w:r>
    </w:p>
    <w:p>
      <w:r>
        <w:rPr>
          <w:rFonts w:ascii="等线(中文正文)" w:hAnsi="等线(中文正文)" w:cs="等线(中文正文)" w:eastAsia="等线(中文正文)"/>
          <w:b w:val="false"/>
          <w:i w:val="false"/>
          <w:sz w:val="20"/>
        </w:rPr>
        <w:t/>
      </w:r>
    </w:p>
    <w:p>
      <w:pPr>
        <w:pStyle w:val="ab"/>
        <w:numPr>
          <w:numId w:val="3"/>
        </w:numPr>
      </w:pPr>
      <w:r>
        <w:t>06:14 七月份金融数据解析：社融略超预期，信贷偏弱</w:t>
      </w:r>
    </w:p>
    <w:p>
      <w:r>
        <w:rPr>
          <w:rFonts w:ascii="等线(中文正文)" w:hAnsi="等线(中文正文)" w:cs="等线(中文正文)" w:eastAsia="等线(中文正文)"/>
          <w:b w:val="false"/>
          <w:i w:val="false"/>
          <w:sz w:val="20"/>
        </w:rPr>
        <w:t>七月份金融数据显示，社融增速略超市场预期，主要得益于政府债融资的增加和企业债券融资的重要性提升。然而，信贷数据大幅低于预期，反映整体融资需求偏弱，尤其是居民和企业信贷。经济结构上，高端制造业和数字经济保持高景气度，而传统地产和大宗消费板块表现偏弱。未来几个月，政府债发行节奏加快，将对社融提供支撑。</w:t>
      </w:r>
    </w:p>
    <w:p>
      <w:r>
        <w:rPr>
          <w:rFonts w:ascii="等线(中文正文)" w:hAnsi="等线(中文正文)" w:cs="等线(中文正文)" w:eastAsia="等线(中文正文)"/>
          <w:b w:val="false"/>
          <w:i w:val="false"/>
          <w:sz w:val="20"/>
        </w:rPr>
        <w:t/>
      </w:r>
    </w:p>
    <w:p>
      <w:pPr>
        <w:pStyle w:val="ab"/>
        <w:numPr>
          <w:numId w:val="4"/>
        </w:numPr>
      </w:pPr>
      <w:r>
        <w:t>08:44 通胀缓和与财政政策预期升温</w:t>
      </w:r>
    </w:p>
    <w:p>
      <w:r>
        <w:rPr>
          <w:rFonts w:ascii="等线(中文正文)" w:hAnsi="等线(中文正文)" w:cs="等线(中文正文)" w:eastAsia="等线(中文正文)"/>
          <w:b w:val="false"/>
          <w:i w:val="false"/>
          <w:sz w:val="20"/>
        </w:rPr>
        <w:t>随着油价回落，输入型通胀压力明显减轻，PPI环比转负，CPI保持平稳。LPR连续15个月稳定，信贷市场利率缓慢下行，货币政策维持观察期，财政端需加快支出并推出增量措施，市场对稳增长财政政策预期升温。</w:t>
      </w:r>
    </w:p>
    <w:p>
      <w:r>
        <w:rPr>
          <w:rFonts w:ascii="等线(中文正文)" w:hAnsi="等线(中文正文)" w:cs="等线(中文正文)" w:eastAsia="等线(中文正文)"/>
          <w:b w:val="false"/>
          <w:i w:val="false"/>
          <w:sz w:val="20"/>
        </w:rPr>
        <w:t/>
      </w:r>
    </w:p>
    <w:p>
      <w:pPr>
        <w:pStyle w:val="ab"/>
        <w:numPr>
          <w:numId w:val="5"/>
        </w:numPr>
      </w:pPr>
      <w:r>
        <w:t>11:42 黑色板块行情分析：焦煤领涨背后的供需逻辑</w:t>
      </w:r>
    </w:p>
    <w:p>
      <w:r>
        <w:rPr>
          <w:rFonts w:ascii="等线(中文正文)" w:hAnsi="等线(中文正文)" w:cs="等线(中文正文)" w:eastAsia="等线(中文正文)"/>
          <w:b w:val="false"/>
          <w:i w:val="false"/>
          <w:sz w:val="20"/>
        </w:rPr>
        <w:t>近期黑色板块呈现分化走势，焦煤持续上涨，涨幅显著，主要受国内安监高压和煤矿复产不及预期影响，供应端持续偏紧。成材前期震荡，本周出现跟涨，而铁矿维持弱势。进口端亦有题材出现，现货加速上涨，部分煤种价格创新高。</w:t>
      </w:r>
    </w:p>
    <w:p>
      <w:r>
        <w:rPr>
          <w:rFonts w:ascii="等线(中文正文)" w:hAnsi="等线(中文正文)" w:cs="等线(中文正文)" w:eastAsia="等线(中文正文)"/>
          <w:b w:val="false"/>
          <w:i w:val="false"/>
          <w:sz w:val="20"/>
        </w:rPr>
        <w:t/>
      </w:r>
    </w:p>
    <w:p>
      <w:pPr>
        <w:pStyle w:val="ab"/>
        <w:numPr>
          <w:numId w:val="6"/>
        </w:numPr>
      </w:pPr>
      <w:r>
        <w:t>15:08 蒙古燃料油短缺引发煤炭市场波动</w:t>
      </w:r>
    </w:p>
    <w:p>
      <w:r>
        <w:rPr>
          <w:rFonts w:ascii="等线(中文正文)" w:hAnsi="等线(中文正文)" w:cs="等线(中文正文)" w:eastAsia="等线(中文正文)"/>
          <w:b w:val="false"/>
          <w:i w:val="false"/>
          <w:sz w:val="20"/>
        </w:rPr>
        <w:t>蒙古燃料油短缺导致通关量下降，影响煤矿生产和运输，促使蒙煤价格创两年新高。供应紧张加剧市场焦煤供给局势，尽管钢厂采购积极性提升，但需关注钢材是否能跟涨及后续市场交割和套保压力。短期内焦煤价格可能偏强运行，但高度需谨慎看待。</w:t>
      </w:r>
    </w:p>
    <w:p>
      <w:r>
        <w:rPr>
          <w:rFonts w:ascii="等线(中文正文)" w:hAnsi="等线(中文正文)" w:cs="等线(中文正文)" w:eastAsia="等线(中文正文)"/>
          <w:b w:val="false"/>
          <w:i w:val="false"/>
          <w:sz w:val="20"/>
        </w:rPr>
        <w:t/>
      </w:r>
    </w:p>
    <w:p>
      <w:pPr>
        <w:pStyle w:val="ab"/>
        <w:numPr>
          <w:numId w:val="7"/>
        </w:numPr>
      </w:pPr>
      <w:r>
        <w:t>19:42 黑色系与有色金属市场走势分析</w:t>
      </w:r>
    </w:p>
    <w:p>
      <w:r>
        <w:rPr>
          <w:rFonts w:ascii="等线(中文正文)" w:hAnsi="等线(中文正文)" w:cs="等线(中文正文)" w:eastAsia="等线(中文正文)"/>
          <w:b w:val="false"/>
          <w:i w:val="false"/>
          <w:sz w:val="20"/>
        </w:rPr>
        <w:t>对话深入探讨了焦炭、焦煤及铁矿石市场的短期走势，指出焦炭受成本推动呈震荡偏强趋势，而铁矿石因供应增加与需求减少维持弱势。同时，提及贵金属市场反弹力度较强，整体分析了黑色系与有色金属市场的现状与未来展望，强调市场情绪与政策对价格的影响。</w:t>
      </w:r>
    </w:p>
    <w:p>
      <w:r>
        <w:rPr>
          <w:rFonts w:ascii="等线(中文正文)" w:hAnsi="等线(中文正文)" w:cs="等线(中文正文)" w:eastAsia="等线(中文正文)"/>
          <w:b w:val="false"/>
          <w:i w:val="false"/>
          <w:sz w:val="20"/>
        </w:rPr>
        <w:t/>
      </w:r>
    </w:p>
    <w:p>
      <w:pPr>
        <w:pStyle w:val="ab"/>
        <w:numPr>
          <w:numId w:val="8"/>
        </w:numPr>
      </w:pPr>
      <w:r>
        <w:t>23:28 贵金属与有色金属市场分析：黄金强势上涨及后续展望</w:t>
      </w:r>
    </w:p>
    <w:p>
      <w:r>
        <w:rPr>
          <w:rFonts w:ascii="等线(中文正文)" w:hAnsi="等线(中文正文)" w:cs="等线(中文正文)" w:eastAsia="等线(中文正文)"/>
          <w:b w:val="false"/>
          <w:i w:val="false"/>
          <w:sz w:val="20"/>
        </w:rPr>
        <w:t>近期贵金属市场，尤其是黄金，表现抢眼，价格突破4600美元每盎司，主要受美元信用受损及全球去美元化趋势影响。尽管美债长端收益率维持高位，黄金未受压制，显示其定价逻辑转向美元信用对冲。下半年黄金逻辑转变，建议维持偏多配置，但需警惕美联储加息预期波动。银、铂、钯等金属价格受黄金宏观因素影响，修复窗口可期，但短期过热风险需注意。</w:t>
      </w:r>
    </w:p>
    <w:p>
      <w:r>
        <w:rPr>
          <w:rFonts w:ascii="等线(中文正文)" w:hAnsi="等线(中文正文)" w:cs="等线(中文正文)" w:eastAsia="等线(中文正文)"/>
          <w:b w:val="false"/>
          <w:i w:val="false"/>
          <w:sz w:val="20"/>
        </w:rPr>
        <w:t/>
      </w:r>
    </w:p>
    <w:p>
      <w:pPr>
        <w:pStyle w:val="ab"/>
        <w:numPr>
          <w:numId w:val="9"/>
        </w:numPr>
      </w:pPr>
      <w:r>
        <w:t>27:44 贵金属与有色金属市场趋势分析</w:t>
      </w:r>
    </w:p>
    <w:p>
      <w:r>
        <w:rPr>
          <w:rFonts w:ascii="等线(中文正文)" w:hAnsi="等线(中文正文)" w:cs="等线(中文正文)" w:eastAsia="等线(中文正文)"/>
          <w:b w:val="false"/>
          <w:i w:val="false"/>
          <w:sz w:val="20"/>
        </w:rPr>
        <w:t>对话分析了贵金属市场整体处于宽幅震荡状态，下半年情绪向好，建议逢低买入。有色金属方面，铜表现乐观，高位震荡，受宏观支撑及产业端博弈影响，但需警惕关税政策风险。需求端表现不佳，市场更关注宏观因素。</w:t>
      </w:r>
    </w:p>
    <w:p>
      <w:r>
        <w:rPr>
          <w:rFonts w:ascii="等线(中文正文)" w:hAnsi="等线(中文正文)" w:cs="等线(中文正文)" w:eastAsia="等线(中文正文)"/>
          <w:b w:val="false"/>
          <w:i w:val="false"/>
          <w:sz w:val="20"/>
        </w:rPr>
        <w:t/>
      </w:r>
    </w:p>
    <w:p>
      <w:pPr>
        <w:pStyle w:val="ab"/>
        <w:numPr>
          <w:numId w:val="10"/>
        </w:numPr>
      </w:pPr>
      <w:r>
        <w:t>32:05 铝价高位震荡与需求偏弱分析</w:t>
      </w:r>
    </w:p>
    <w:p>
      <w:r>
        <w:rPr>
          <w:rFonts w:ascii="等线(中文正文)" w:hAnsi="等线(中文正文)" w:cs="等线(中文正文)" w:eastAsia="等线(中文正文)"/>
          <w:b w:val="false"/>
          <w:i w:val="false"/>
          <w:sz w:val="20"/>
        </w:rPr>
        <w:t>对话分析了铝价高位震荡的走势，指出尽管国内库存下降，但需求整体偏弱，尤其是房地产和光伏产量下降影响下游订单。海外铝价表现较好，但中东地区铝复产预期对海外铝价有制约作用。上半年国内铝价未随海外上涨，下半年预计为宽幅震荡走势。市场提前补库可能影响金九银十的库存下降速率，存在提前累库预期，整体对铝价构成偏利空影响。</w:t>
      </w:r>
    </w:p>
    <w:p>
      <w:r>
        <w:rPr>
          <w:rFonts w:ascii="等线(中文正文)" w:hAnsi="等线(中文正文)" w:cs="等线(中文正文)" w:eastAsia="等线(中文正文)"/>
          <w:b w:val="false"/>
          <w:i w:val="false"/>
          <w:sz w:val="20"/>
        </w:rPr>
        <w:t/>
      </w:r>
    </w:p>
    <w:p>
      <w:pPr>
        <w:pStyle w:val="ab"/>
        <w:numPr>
          <w:numId w:val="11"/>
        </w:numPr>
      </w:pPr>
      <w:r>
        <w:t>35:43 锌价高位震荡：供需两端分析</w:t>
      </w:r>
    </w:p>
    <w:p>
      <w:r>
        <w:rPr>
          <w:rFonts w:ascii="等线(中文正文)" w:hAnsi="等线(中文正文)" w:cs="等线(中文正文)" w:eastAsia="等线(中文正文)"/>
          <w:b w:val="false"/>
          <w:i w:val="false"/>
          <w:sz w:val="20"/>
        </w:rPr>
        <w:t>锌价维持高位震荡，主要受矿端紧缺和全球性供给问题支撑。尽管部分炼厂复产，但需求端表现不佳，尤其是镀锌、锌合金和锌粉等领域。市场对锌价持谨慎态度，预计年内顶部可能在25000至26000元/吨之间。供应端面临印尼雨季和国内采区停采风险，而需求端受半导体行业调整周期影响，可能限制锌价上涨空间。未来价格走势将取决于供应端修复情况和需求端变化。</w:t>
      </w:r>
    </w:p>
    <w:p>
      <w:r>
        <w:rPr>
          <w:rFonts w:ascii="等线(中文正文)" w:hAnsi="等线(中文正文)" w:cs="等线(中文正文)" w:eastAsia="等线(中文正文)"/>
          <w:b w:val="false"/>
          <w:i w:val="false"/>
          <w:sz w:val="20"/>
        </w:rPr>
        <w:t/>
      </w:r>
    </w:p>
    <w:p>
      <w:pPr>
        <w:pStyle w:val="ab"/>
        <w:numPr>
          <w:numId w:val="12"/>
        </w:numPr>
      </w:pPr>
      <w:r>
        <w:t>39:34 有色品种市场分析：镍、碳酸锂、工业硅与多晶硅价格走势</w:t>
      </w:r>
    </w:p>
    <w:p>
      <w:r>
        <w:rPr>
          <w:rFonts w:ascii="等线(中文正文)" w:hAnsi="等线(中文正文)" w:cs="等线(中文正文)" w:eastAsia="等线(中文正文)"/>
          <w:b w:val="false"/>
          <w:i w:val="false"/>
          <w:sz w:val="20"/>
        </w:rPr>
        <w:t>对话深入分析了镍、碳酸锂、工业硅与多晶硅的价格走势，指出镍价受印尼配额制度影响，碳酸锂因供需关系呈现高位震荡，而工业硅与多晶硅则受政策预期影响，价格低位震荡等待反弹。硫磺价格波动对镍铁成本构成影响，市场预期镍价在12万左右有支撑。碳酸锂价格区间预计在13万至16万之间波动，需关注库存与供应端变化。工业硅与多晶硅价格接近现金成本，政策预期是价格反弹的关键。</w:t>
      </w:r>
    </w:p>
    <w:p>
      <w:r>
        <w:rPr>
          <w:rFonts w:ascii="等线(中文正文)" w:hAnsi="等线(中文正文)" w:cs="等线(中文正文)" w:eastAsia="等线(中文正文)"/>
          <w:b w:val="false"/>
          <w:i w:val="false"/>
          <w:sz w:val="20"/>
        </w:rPr>
        <w:t/>
      </w:r>
    </w:p>
    <w:p>
      <w:pPr>
        <w:pStyle w:val="ab"/>
        <w:numPr>
          <w:numId w:val="13"/>
        </w:numPr>
      </w:pPr>
      <w:r>
        <w:t>43:42 原油市场地缘僵局与供需矛盾分析</w:t>
      </w:r>
    </w:p>
    <w:p>
      <w:r>
        <w:rPr>
          <w:rFonts w:ascii="等线(中文正文)" w:hAnsi="等线(中文正文)" w:cs="等线(中文正文)" w:eastAsia="等线(中文正文)"/>
          <w:b w:val="false"/>
          <w:i w:val="false"/>
          <w:sz w:val="20"/>
        </w:rPr>
        <w:t>对话讨论了近期原油价格强反弹的市场影响逻辑，聚焦于地缘政治僵局对霍尔木兹海峡通航的影响及供应缺口的持续扩大。同时，分析了国内原油进口结构变化，指出中东部分产油国退出前五进口来源，可能导致亚洲成品油市场短缺。此外，还提到印度减少俄罗斯油份额可能加剧亚洲成品油短缺，支撑原油价格。最后，强调需关注SC计价风险及档案货源紧缺逻辑上升，内外价差或从贴水转为深水状态。</w:t>
      </w:r>
    </w:p>
    <w:p>
      <w:r>
        <w:rPr>
          <w:rFonts w:ascii="等线(中文正文)" w:hAnsi="等线(中文正文)" w:cs="等线(中文正文)" w:eastAsia="等线(中文正文)"/>
          <w:b w:val="false"/>
          <w:i w:val="false"/>
          <w:sz w:val="20"/>
        </w:rPr>
        <w:t/>
      </w:r>
    </w:p>
    <w:p>
      <w:pPr>
        <w:pStyle w:val="ab"/>
        <w:numPr>
          <w:numId w:val="14"/>
        </w:numPr>
      </w:pPr>
      <w:r>
        <w:t>50:09 化工品种市场分析：沥青与乙二醇表现强势</w:t>
      </w:r>
    </w:p>
    <w:p>
      <w:r>
        <w:rPr>
          <w:rFonts w:ascii="等线(中文正文)" w:hAnsi="等线(中文正文)" w:cs="等线(中文正文)" w:eastAsia="等线(中文正文)"/>
          <w:b w:val="false"/>
          <w:i w:val="false"/>
          <w:sz w:val="20"/>
        </w:rPr>
        <w:t>对话重点分析了化工品种市场，指出沥青因供应紧张、需求改善及成本推涨等因素，价格表现强势，预计供需缺口扩大，基差和裂解将重回强势。乙二醇则因港口库存紧张、国内开工偏低，尽管下游需求偏弱，但基本面支撑供需缺口大，预计近期维持偏强表现。PVC和甲醇方面，虽有供应收紧预期，但需求拖累严重，表现相对较弱。</w:t>
      </w:r>
    </w:p>
    <w:p>
      <w:r>
        <w:rPr>
          <w:rFonts w:ascii="等线(中文正文)" w:hAnsi="等线(中文正文)" w:cs="等线(中文正文)" w:eastAsia="等线(中文正文)"/>
          <w:b w:val="false"/>
          <w:i w:val="false"/>
          <w:sz w:val="20"/>
        </w:rPr>
        <w:t/>
      </w:r>
    </w:p>
    <w:p>
      <w:pPr>
        <w:pStyle w:val="ab"/>
        <w:numPr>
          <w:numId w:val="15"/>
        </w:numPr>
      </w:pPr>
      <w:r>
        <w:t>56:59 厄尔尼诺对农产品价格的影响分析</w:t>
      </w:r>
    </w:p>
    <w:p>
      <w:r>
        <w:rPr>
          <w:rFonts w:ascii="等线(中文正文)" w:hAnsi="等线(中文正文)" w:cs="等线(中文正文)" w:eastAsia="等线(中文正文)"/>
          <w:b w:val="false"/>
          <w:i w:val="false"/>
          <w:sz w:val="20"/>
        </w:rPr>
        <w:t>近期农产品板块中多个品种价格呈现突破上行走势，尤其是油脂市场中的棕榈油和菜油。厄尔尼诺天气可能引发的减产预期、加拿大天气影响以及原油强势等因素共同推动价格上行。此外，生猪市场因需求端利好及供应收缩，现货猪价稳定在11.2元以上，利润端逐步改善。未来需关注27年度厄尔尼诺对油脂类市场的影响，以及中秋、国庆等节日对生猪需求的提振作用。</w:t>
      </w:r>
    </w:p>
    <w:p>
      <w:r>
        <w:rPr>
          <w:rFonts w:ascii="等线(中文正文)" w:hAnsi="等线(中文正文)" w:cs="等线(中文正文)" w:eastAsia="等线(中文正文)"/>
          <w:b w:val="false"/>
          <w:i w:val="false"/>
          <w:sz w:val="20"/>
        </w:rPr>
        <w:t/>
      </w:r>
    </w:p>
    <w:p>
      <w:pPr>
        <w:pStyle w:val="ab"/>
        <w:numPr>
          <w:numId w:val="16"/>
        </w:numPr>
      </w:pPr>
      <w:r>
        <w:t>01:03:11 糖棉及建材类品种后市分析</w:t>
      </w:r>
    </w:p>
    <w:p>
      <w:r>
        <w:rPr>
          <w:rFonts w:ascii="等线(中文正文)" w:hAnsi="等线(中文正文)" w:cs="等线(中文正文)" w:eastAsia="等线(中文正文)"/>
          <w:b w:val="false"/>
          <w:i w:val="false"/>
          <w:sz w:val="20"/>
        </w:rPr>
        <w:t>分享了糖、棉花、纯碱和玻璃的市场情况。糖价因天气及印度进口政策提振，但供应充足限制上涨空间；棉花基本面良好，但需警惕天气影响及供应增加；建材类品种表现未详述，整体市场近强远弱，需关注未来供需变化。</w:t>
      </w:r>
    </w:p>
    <w:p>
      <w:r>
        <w:rPr>
          <w:rFonts w:ascii="等线(中文正文)" w:hAnsi="等线(中文正文)" w:cs="等线(中文正文)" w:eastAsia="等线(中文正文)"/>
          <w:b w:val="false"/>
          <w:i w:val="false"/>
          <w:sz w:val="20"/>
        </w:rPr>
        <w:t/>
      </w:r>
    </w:p>
    <w:p>
      <w:pPr>
        <w:pStyle w:val="ab"/>
        <w:numPr>
          <w:numId w:val="17"/>
        </w:numPr>
      </w:pPr>
      <w:r>
        <w:t>01:08:01 商品市场分析与宏观事件影响</w:t>
      </w:r>
    </w:p>
    <w:p>
      <w:r>
        <w:rPr>
          <w:rFonts w:ascii="等线(中文正文)" w:hAnsi="等线(中文正文)" w:cs="等线(中文正文)" w:eastAsia="等线(中文正文)"/>
          <w:b w:val="false"/>
          <w:i w:val="false"/>
          <w:sz w:val="20"/>
        </w:rPr>
        <w:t>对话深入分析了棉花、玻璃和纯碱市场的基本面，指出尽管部分商品价格反弹，但整体仍面临供应过剩和需求不足的问题，建议投资者保持谨慎。同时，强调了海外市场如美国经济数据发布和杰克逊霍尔年会等对商品价格可能产生的影响，提醒关注宏观事件节点。</w:t>
      </w:r>
    </w:p>
    <w:p>
      <w:r>
        <w:rPr>
          <w:rFonts w:ascii="等线(中文正文)" w:hAnsi="等线(中文正文)" w:cs="等线(中文正文)" w:eastAsia="等线(中文正文)"/>
          <w:b w:val="false"/>
          <w:i w:val="false"/>
          <w:sz w:val="20"/>
        </w:rPr>
        <w:t/>
      </w:r>
    </w:p>
    <w:p>
      <w:pPr>
        <w:pStyle w:val="a7"/>
      </w:pPr>
      <w:r>
        <w:t>发言总结</w:t>
      </w:r>
    </w:p>
    <w:p>
      <w:pPr>
        <w:pStyle w:val="ab"/>
        <w:numPr>
          <w:numId w:val="18"/>
        </w:numPr>
      </w:pPr>
      <w:r>
        <w:t>发言人1</w:t>
      </w:r>
    </w:p>
    <w:p>
      <w:r>
        <w:rPr>
          <w:rFonts w:ascii="等线(中文正文)" w:hAnsi="等线(中文正文)" w:cs="等线(中文正文)" w:eastAsia="等线(中文正文)"/>
          <w:b w:val="false"/>
          <w:i w:val="false"/>
          <w:sz w:val="20"/>
        </w:rPr>
        <w:t>首先强调即将发布的重要数据将影响美联储的政策预期，并特别提到了8月28日杰克逊霍尔年会上的讲话对于理解美联储政策方向的启示。他还提醒投资者关注美伊局势，特别是美国对伊朗政策动向及其对能源市场可能产生的影响。他深入探讨了当前全球经济形势，特别是宏观扰动与产业逻辑交织下商品走势的演变。他分析了近期市场商品波动的亮点，包括贵金属、能源和农产品等领域，指出美联储政策变动对市场的影响显著。通过对国际宏观状态的审视，他强调了全球商品市场正经历的波动，与美国宏观经济指标密切相关，并讨论了市场对美联储未来货币政策动向的预期及其对商品价格的影响。最后，他对贵金属、农产品和黑色金属等商品的后市进行了分析，建议投资者关注重要经济数据和全球金融市场的进一步动态。</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问：在近期市场中，商品波动的主要亮点是什么？</w:t>
      </w:r>
    </w:p>
    <w:p>
      <w:r>
        <w:rPr>
          <w:rFonts w:ascii="等线(中文正文)" w:hAnsi="等线(中文正文)" w:cs="等线(中文正文)" w:eastAsia="等线(中文正文)"/>
          <w:b w:val="false"/>
          <w:i w:val="false"/>
          <w:sz w:val="20"/>
        </w:rPr>
        <w:t>发言人1 答：近期商品市场的波动亮点主要围绕国际宏观状态，特别是通胀预期和美联储加息政策前景的演绎。具体表现为贵金属、能源、部分农产品以及黑色板块原料等品种呈现大幅波动。</w:t>
      </w:r>
    </w:p>
    <w:p>
      <w:r>
        <w:rPr>
          <w:rFonts w:ascii="等线(中文正文)" w:hAnsi="等线(中文正文)" w:cs="等线(中文正文)" w:eastAsia="等线(中文正文)"/>
          <w:b w:val="false"/>
          <w:i w:val="false"/>
          <w:sz w:val="20"/>
        </w:rPr>
        <w:t/>
      </w:r>
    </w:p>
    <w:p>
      <w:pPr>
        <w:pStyle w:val="ab"/>
      </w:pPr>
      <w:r>
        <w:t>发言人1 问：最近海外宏观有哪些关键关注事件？</w:t>
      </w:r>
    </w:p>
    <w:p>
      <w:r>
        <w:rPr>
          <w:rFonts w:ascii="等线(中文正文)" w:hAnsi="等线(中文正文)" w:cs="等线(中文正文)" w:eastAsia="等线(中文正文)"/>
          <w:b w:val="false"/>
          <w:i w:val="false"/>
          <w:sz w:val="20"/>
        </w:rPr>
        <w:t>发言人1 答：海外宏观关注点有两个：一是美联储加息预期发生了较大转变；二是美国财政部在美债规模和回购操作上有所动作。例如，美债规模突破40万亿，长债收益率大幅冲高，美国财政部扩大了长期国债回购规模，并宣布将至少翻倍偿债，通过购买10年至30年长期国债来优化债务久期和改善流动性。</w:t>
      </w:r>
    </w:p>
    <w:p>
      <w:r>
        <w:rPr>
          <w:rFonts w:ascii="等线(中文正文)" w:hAnsi="等线(中文正文)" w:cs="等线(中文正文)" w:eastAsia="等线(中文正文)"/>
          <w:b w:val="false"/>
          <w:i w:val="false"/>
          <w:sz w:val="20"/>
        </w:rPr>
        <w:t/>
      </w:r>
    </w:p>
    <w:p>
      <w:pPr>
        <w:pStyle w:val="ab"/>
      </w:pPr>
      <w:r>
        <w:t>发言人1 问：美国财政部的回购操作与美联储QE有何区别？</w:t>
      </w:r>
    </w:p>
    <w:p>
      <w:r>
        <w:rPr>
          <w:rFonts w:ascii="等线(中文正文)" w:hAnsi="等线(中文正文)" w:cs="等线(中文正文)" w:eastAsia="等线(中文正文)"/>
          <w:b w:val="false"/>
          <w:i w:val="false"/>
          <w:sz w:val="20"/>
        </w:rPr>
        <w:t>发言人1 答：财政部购债操作不同于美联储QE，它不新增基础货币，属于债务管理范畴；而QE则是资产负债表扩张的货币政策工具。</w:t>
      </w:r>
    </w:p>
    <w:p>
      <w:r>
        <w:rPr>
          <w:rFonts w:ascii="等线(中文正文)" w:hAnsi="等线(中文正文)" w:cs="等线(中文正文)" w:eastAsia="等线(中文正文)"/>
          <w:b w:val="false"/>
          <w:i w:val="false"/>
          <w:sz w:val="20"/>
        </w:rPr>
        <w:t/>
      </w:r>
    </w:p>
    <w:p>
      <w:pPr>
        <w:pStyle w:val="ab"/>
      </w:pPr>
      <w:r>
        <w:t>发言人1 问：近期美联储会议纪要透露了什么信息？</w:t>
      </w:r>
    </w:p>
    <w:p>
      <w:r>
        <w:rPr>
          <w:rFonts w:ascii="等线(中文正文)" w:hAnsi="等线(中文正文)" w:cs="等线(中文正文)" w:eastAsia="等线(中文正文)"/>
          <w:b w:val="false"/>
          <w:i w:val="false"/>
          <w:sz w:val="20"/>
        </w:rPr>
        <w:t>发言人1 答：美联储七月份会议纪要整体基调偏鹰派，多数委员认为通胀前景不确定性上升，风险偏高，部分官员提出若通胀回落不及预期，则存在再次加息的可能性，这否定了市场快速降息预期，并强调货币政策独立性，不会配合财政部稳定债券收益率。</w:t>
      </w:r>
    </w:p>
    <w:p>
      <w:r>
        <w:rPr>
          <w:rFonts w:ascii="等线(中文正文)" w:hAnsi="等线(中文正文)" w:cs="等线(中文正文)" w:eastAsia="等线(中文正文)"/>
          <w:b w:val="false"/>
          <w:i w:val="false"/>
          <w:sz w:val="20"/>
        </w:rPr>
        <w:t/>
      </w:r>
    </w:p>
    <w:p>
      <w:pPr>
        <w:pStyle w:val="ab"/>
      </w:pPr>
      <w:r>
        <w:t>发言人1 问：美国高频经济数据对市场有何影响？</w:t>
      </w:r>
    </w:p>
    <w:p>
      <w:r>
        <w:rPr>
          <w:rFonts w:ascii="等线(中文正文)" w:hAnsi="等线(中文正文)" w:cs="等线(中文正文)" w:eastAsia="等线(中文正文)"/>
          <w:b w:val="false"/>
          <w:i w:val="false"/>
          <w:sz w:val="20"/>
        </w:rPr>
        <w:t>发言人1 答：美国零售销售环比走弱、通胀见顶以及制造业PMI边际放缓，显示出美国经济内需承压迹象增多。长端利率剧烈震荡、美元指数阶段性承压，黄金因债务担忧和利率波动需求而低位反弹，美股呈现板块分化格局。</w:t>
      </w:r>
    </w:p>
    <w:p>
      <w:r>
        <w:rPr>
          <w:rFonts w:ascii="等线(中文正文)" w:hAnsi="等线(中文正文)" w:cs="等线(中文正文)" w:eastAsia="等线(中文正文)"/>
          <w:b w:val="false"/>
          <w:i w:val="false"/>
          <w:sz w:val="20"/>
        </w:rPr>
        <w:t/>
      </w:r>
    </w:p>
    <w:p>
      <w:pPr>
        <w:pStyle w:val="ab"/>
      </w:pPr>
      <w:r>
        <w:t>发言人1 问：短期内影响市场的关键事件有哪些？</w:t>
      </w:r>
    </w:p>
    <w:p>
      <w:r>
        <w:rPr>
          <w:rFonts w:ascii="等线(中文正文)" w:hAnsi="等线(中文正文)" w:cs="等线(中文正文)" w:eastAsia="等线(中文正文)"/>
          <w:b w:val="false"/>
          <w:i w:val="false"/>
          <w:sz w:val="20"/>
        </w:rPr>
        <w:t>发言人1 答：下周召开的全球央行年会及美国公布的七月份PCE通胀数据是重要事件，它们可能对美联储未来动向提供关键参考。</w:t>
      </w:r>
    </w:p>
    <w:p>
      <w:r>
        <w:rPr>
          <w:rFonts w:ascii="等线(中文正文)" w:hAnsi="等线(中文正文)" w:cs="等线(中文正文)" w:eastAsia="等线(中文正文)"/>
          <w:b w:val="false"/>
          <w:i w:val="false"/>
          <w:sz w:val="20"/>
        </w:rPr>
        <w:t/>
      </w:r>
    </w:p>
    <w:p>
      <w:pPr>
        <w:pStyle w:val="ab"/>
      </w:pPr>
      <w:r>
        <w:t>发言人1 问：国内近期公布了哪些宏观数据？</w:t>
      </w:r>
    </w:p>
    <w:p>
      <w:r>
        <w:rPr>
          <w:rFonts w:ascii="等线(中文正文)" w:hAnsi="等线(中文正文)" w:cs="等线(中文正文)" w:eastAsia="等线(中文正文)"/>
          <w:b w:val="false"/>
          <w:i w:val="false"/>
          <w:sz w:val="20"/>
        </w:rPr>
        <w:t>发言人1 答：国内七月份公布的数据中，社融增速略好于市场预期，但信贷数据大幅低于预期。政府债融资同比多增，反映下半年财政赤字规模可能较去年增加，未来几个月政府债发行节奏将加快。同时，企业债融资在信用扩张中的重要性增强。</w:t>
      </w:r>
    </w:p>
    <w:p>
      <w:r>
        <w:rPr>
          <w:rFonts w:ascii="等线(中文正文)" w:hAnsi="等线(中文正文)" w:cs="等线(中文正文)" w:eastAsia="等线(中文正文)"/>
          <w:b w:val="false"/>
          <w:i w:val="false"/>
          <w:sz w:val="20"/>
        </w:rPr>
        <w:t/>
      </w:r>
    </w:p>
    <w:p>
      <w:pPr>
        <w:pStyle w:val="ab"/>
      </w:pPr>
      <w:r>
        <w:t>发言人1 问：国内经济数据表现如何？</w:t>
      </w:r>
    </w:p>
    <w:p>
      <w:r>
        <w:rPr>
          <w:rFonts w:ascii="等线(中文正文)" w:hAnsi="等线(中文正文)" w:cs="等线(中文正文)" w:eastAsia="等线(中文正文)"/>
          <w:b w:val="false"/>
          <w:i w:val="false"/>
          <w:sz w:val="20"/>
        </w:rPr>
        <w:t>发言人1 答：经济数据总体呈现供给韧性偏强、内需修复偏缓和外需有韧性特征，新动能如高端制造业、装备、数字和科创板块景气度持续较高，而地产后周期及居民大宗消费板块表现相对较弱。</w:t>
      </w:r>
    </w:p>
    <w:p>
      <w:r>
        <w:rPr>
          <w:rFonts w:ascii="等线(中文正文)" w:hAnsi="等线(中文正文)" w:cs="等线(中文正文)" w:eastAsia="等线(中文正文)"/>
          <w:b w:val="false"/>
          <w:i w:val="false"/>
          <w:sz w:val="20"/>
        </w:rPr>
        <w:t/>
      </w:r>
    </w:p>
    <w:p>
      <w:pPr>
        <w:pStyle w:val="ab"/>
      </w:pPr>
      <w:r>
        <w:t>发言人1 问：石油价格回落对输入型通胀有何影响？</w:t>
      </w:r>
    </w:p>
    <w:p>
      <w:r>
        <w:rPr>
          <w:rFonts w:ascii="等线(中文正文)" w:hAnsi="等线(中文正文)" w:cs="等线(中文正文)" w:eastAsia="等线(中文正文)"/>
          <w:b w:val="false"/>
          <w:i w:val="false"/>
          <w:sz w:val="20"/>
        </w:rPr>
        <w:t>发言人1 答：随着油价重心回落，输入型通胀拐点已明确，PPI环比转负，同比数值回落；CPI整体偏平缓。油价风险溢价波动收敛导致输入型通胀压力持续缓和。</w:t>
      </w:r>
    </w:p>
    <w:p>
      <w:r>
        <w:rPr>
          <w:rFonts w:ascii="等线(中文正文)" w:hAnsi="等线(中文正文)" w:cs="等线(中文正文)" w:eastAsia="等线(中文正文)"/>
          <w:b w:val="false"/>
          <w:i w:val="false"/>
          <w:sz w:val="20"/>
        </w:rPr>
        <w:t/>
      </w:r>
    </w:p>
    <w:p>
      <w:pPr>
        <w:pStyle w:val="ab"/>
      </w:pPr>
      <w:r>
        <w:t>发言人1 问：当前货币政策和财政政策有何动态？</w:t>
      </w:r>
    </w:p>
    <w:p>
      <w:r>
        <w:rPr>
          <w:rFonts w:ascii="等线(中文正文)" w:hAnsi="等线(中文正文)" w:cs="等线(中文正文)" w:eastAsia="等线(中文正文)"/>
          <w:b w:val="false"/>
          <w:i w:val="false"/>
          <w:sz w:val="20"/>
        </w:rPr>
        <w:t>发言人1 答：LPR连续15个月保持稳定，企业贷款利率缓慢下行，信贷投放较为充分。货币政策处于观察期，总量工具降息操作保持较强的可能性，更多依赖公开市场操作和结构性工具维持流动性合理充裕。稳增长任务主要由财政端发力，财政收入持续上升，支出进度偏缓，预计后期财政支出节奏有望提速，并可能推出增量财政措施。</w:t>
      </w:r>
    </w:p>
    <w:p>
      <w:r>
        <w:rPr>
          <w:rFonts w:ascii="等线(中文正文)" w:hAnsi="等线(中文正文)" w:cs="等线(中文正文)" w:eastAsia="等线(中文正文)"/>
          <w:b w:val="false"/>
          <w:i w:val="false"/>
          <w:sz w:val="20"/>
        </w:rPr>
        <w:t/>
      </w:r>
    </w:p>
    <w:p>
      <w:pPr>
        <w:pStyle w:val="ab"/>
      </w:pPr>
      <w:r>
        <w:t>发言人1 问：近期焦煤价格上涨的主要原因是什么？</w:t>
      </w:r>
    </w:p>
    <w:p>
      <w:r>
        <w:rPr>
          <w:rFonts w:ascii="等线(中文正文)" w:hAnsi="等线(中文正文)" w:cs="等线(中文正文)" w:eastAsia="等线(中文正文)"/>
          <w:b w:val="false"/>
          <w:i w:val="false"/>
          <w:sz w:val="20"/>
        </w:rPr>
        <w:t>发言人1 答：近期焦煤价格上涨的主要原因在于供给端约束，尤其是国内方面，安监持续高压，煤矿复产严重不及预期。同时，陕西、湖南等地事故频发，导致安全检查加严，抑制了生产恢复节奏。即使市场预期8-9月份生产会有所恢复，但目前安全监管并未放松，复产矿井的速度也较慢，供应端持续偏紧。</w:t>
      </w:r>
    </w:p>
    <w:p>
      <w:r>
        <w:rPr>
          <w:rFonts w:ascii="等线(中文正文)" w:hAnsi="等线(中文正文)" w:cs="等线(中文正文)" w:eastAsia="等线(中文正文)"/>
          <w:b w:val="false"/>
          <w:i w:val="false"/>
          <w:sz w:val="20"/>
        </w:rPr>
        <w:t/>
      </w:r>
    </w:p>
    <w:p>
      <w:pPr>
        <w:pStyle w:val="ab"/>
      </w:pPr>
      <w:r>
        <w:t>发言人1 问：国内和进口焦煤市场的情况如何？</w:t>
      </w:r>
    </w:p>
    <w:p>
      <w:r>
        <w:rPr>
          <w:rFonts w:ascii="等线(中文正文)" w:hAnsi="等线(中文正文)" w:cs="等线(中文正文)" w:eastAsia="等线(中文正文)"/>
          <w:b w:val="false"/>
          <w:i w:val="false"/>
          <w:sz w:val="20"/>
        </w:rPr>
        <w:t>发言人1 答：国内方面，山西主焦煤和肥煤价格涨幅达到250到380元/吨，低硫主焦煤价格升至2300元以上。而进口端，蒙古因燃料油短缺事件导致通关量大幅下降，从前期的1000车以上减少到目前的500至600车水平。蒙古国库存大幅下滑至300万吨左右，锰煤供应紧张使得蒙煤价格加速上涨，原煤价格涨幅接近150元，达到1450元/吨。</w:t>
      </w:r>
    </w:p>
    <w:p>
      <w:r>
        <w:rPr>
          <w:rFonts w:ascii="等线(中文正文)" w:hAnsi="等线(中文正文)" w:cs="等线(中文正文)" w:eastAsia="等线(中文正文)"/>
          <w:b w:val="false"/>
          <w:i w:val="false"/>
          <w:sz w:val="20"/>
        </w:rPr>
        <w:t/>
      </w:r>
    </w:p>
    <w:p>
      <w:pPr>
        <w:pStyle w:val="ab"/>
      </w:pPr>
      <w:r>
        <w:t>发言人1 问：焦煤市场供应紧张局势是否会持续？</w:t>
      </w:r>
    </w:p>
    <w:p>
      <w:r>
        <w:rPr>
          <w:rFonts w:ascii="等线(中文正文)" w:hAnsi="等线(中文正文)" w:cs="等线(中文正文)" w:eastAsia="等线(中文正文)"/>
          <w:b w:val="false"/>
          <w:i w:val="false"/>
          <w:sz w:val="20"/>
        </w:rPr>
        <w:t>发言人1 答：目前安监在全国范围内处于从严状态，复产煤矿恢复到正常水平需要时间，并且临近8月底部分煤矿可能会减产。因此，市场可能还会维持供应偏紧的局面。</w:t>
      </w:r>
    </w:p>
    <w:p>
      <w:r>
        <w:rPr>
          <w:rFonts w:ascii="等线(中文正文)" w:hAnsi="等线(中文正文)" w:cs="等线(中文正文)" w:eastAsia="等线(中文正文)"/>
          <w:b w:val="false"/>
          <w:i w:val="false"/>
          <w:sz w:val="20"/>
        </w:rPr>
        <w:t/>
      </w:r>
    </w:p>
    <w:p>
      <w:pPr>
        <w:pStyle w:val="ab"/>
      </w:pPr>
      <w:r>
        <w:t>发言人1 问：焦煤价格走势及未来关注点有哪些？</w:t>
      </w:r>
    </w:p>
    <w:p>
      <w:r>
        <w:rPr>
          <w:rFonts w:ascii="等线(中文正文)" w:hAnsi="等线(中文正文)" w:cs="等线(中文正文)" w:eastAsia="等线(中文正文)"/>
          <w:b w:val="false"/>
          <w:i w:val="false"/>
          <w:sz w:val="20"/>
        </w:rPr>
        <w:t>发言人1 答：焦煤价格偏紧、价格上涨的趋势短期可能难以逆转，但需注意09合约已创上市以来新高，随着价格升高，市场会更多关注交割和套保压力，以及基差收窄情况。此外，钢材是否能跟涨也会影响焦煤需求，若钢材不能跟涨，可能会导致铁水下降，从而对焦煤需求产生压制。</w:t>
      </w:r>
    </w:p>
    <w:p>
      <w:r>
        <w:rPr>
          <w:rFonts w:ascii="等线(中文正文)" w:hAnsi="等线(中文正文)" w:cs="等线(中文正文)" w:eastAsia="等线(中文正文)"/>
          <w:b w:val="false"/>
          <w:i w:val="false"/>
          <w:sz w:val="20"/>
        </w:rPr>
        <w:t/>
      </w:r>
    </w:p>
    <w:p>
      <w:pPr>
        <w:pStyle w:val="ab"/>
      </w:pPr>
      <w:r>
        <w:t>发言人1 问：焦炭及铁矿石市场的情况怎样？</w:t>
      </w:r>
    </w:p>
    <w:p>
      <w:r>
        <w:rPr>
          <w:rFonts w:ascii="等线(中文正文)" w:hAnsi="等线(中文正文)" w:cs="等线(中文正文)" w:eastAsia="等线(中文正文)"/>
          <w:b w:val="false"/>
          <w:i w:val="false"/>
          <w:sz w:val="20"/>
        </w:rPr>
        <w:t>发言人1 答：焦炭方面，在焦煤大涨后，焦炭已实现第一轮提涨，预计下周会继续提涨。焦炭走势呈震荡偏强态势，主要是成本推动而非需求拉动。铁矿石近期基本面偏弱，供应增加而需求减少，库存上升，钢厂盈利下降且复产动力不足，铁矿石价格预计窄幅震荡运行。</w:t>
      </w:r>
    </w:p>
    <w:p>
      <w:r>
        <w:rPr>
          <w:rFonts w:ascii="等线(中文正文)" w:hAnsi="等线(中文正文)" w:cs="等线(中文正文)" w:eastAsia="等线(中文正文)"/>
          <w:b w:val="false"/>
          <w:i w:val="false"/>
          <w:sz w:val="20"/>
        </w:rPr>
        <w:t/>
      </w:r>
    </w:p>
    <w:p>
      <w:pPr>
        <w:pStyle w:val="ab"/>
      </w:pPr>
      <w:r>
        <w:t>发言人1 问：贵金属市场表现及其后市展望如何？</w:t>
      </w:r>
    </w:p>
    <w:p>
      <w:r>
        <w:rPr>
          <w:rFonts w:ascii="等线(中文正文)" w:hAnsi="等线(中文正文)" w:cs="等线(中文正文)" w:eastAsia="等线(中文正文)"/>
          <w:b w:val="false"/>
          <w:i w:val="false"/>
          <w:sz w:val="20"/>
        </w:rPr>
        <w:t>发言人1 答：黄金近期表现亮眼，连破新高，主要驱动因素包括美元信用受损、美债长端收益率维持高位但黄金不承压回落，表明黄金定价锚点正从实际利率转向美元信用对冲以及央行购金。全球去美元化趋势为黄金提供底部支撑，下半年建议维持偏多配置，但要注意节奏性问题，如美联储新任主席讲话可能影响加息预期重新定价。白银、铂、钯等金属价格修复窗口可期待，但短期存在过热风险。整体上，贵金属呈现宽幅震荡行情，下半年情绪较上半年更为乐观，操作策略上由逢高空转变为逢低多。</w:t>
      </w:r>
    </w:p>
    <w:p>
      <w:r>
        <w:rPr>
          <w:rFonts w:ascii="等线(中文正文)" w:hAnsi="等线(中文正文)" w:cs="等线(中文正文)" w:eastAsia="等线(中文正文)"/>
          <w:b w:val="false"/>
          <w:i w:val="false"/>
          <w:sz w:val="20"/>
        </w:rPr>
        <w:t/>
      </w:r>
    </w:p>
    <w:p>
      <w:pPr>
        <w:pStyle w:val="ab"/>
      </w:pPr>
      <w:r>
        <w:t>发言人1 问：铜价近期的走势如何，以及MRE调节费的情况如何？</w:t>
      </w:r>
    </w:p>
    <w:p>
      <w:r>
        <w:rPr>
          <w:rFonts w:ascii="等线(中文正文)" w:hAnsi="等线(中文正文)" w:cs="等线(中文正文)" w:eastAsia="等线(中文正文)"/>
          <w:b w:val="false"/>
          <w:i w:val="false"/>
          <w:sz w:val="20"/>
        </w:rPr>
        <w:t>发言人1 答：近两周铜价呈现高位震荡偏强的走势，围绕10.7万至10.9万人民币/吨的区间运行，并接近年内前高。MRE调节费一度高达500美元每吨以上，但随着MRE库存增加，调节费快速下降，底仓风险有所缓解。国内近月价差最高接近900美元每吨，市场一度出现高月差和高铜价状态。</w:t>
      </w:r>
    </w:p>
    <w:p>
      <w:r>
        <w:rPr>
          <w:rFonts w:ascii="等线(中文正文)" w:hAnsi="等线(中文正文)" w:cs="等线(中文正文)" w:eastAsia="等线(中文正文)"/>
          <w:b w:val="false"/>
          <w:i w:val="false"/>
          <w:sz w:val="20"/>
        </w:rPr>
        <w:t/>
      </w:r>
    </w:p>
    <w:p>
      <w:pPr>
        <w:pStyle w:val="ab"/>
      </w:pPr>
      <w:r>
        <w:t>发言人1 问：铜价走势乐观的原因有哪些？当前铜价上涨面临的主要阻碍是什么？</w:t>
      </w:r>
    </w:p>
    <w:p>
      <w:r>
        <w:rPr>
          <w:rFonts w:ascii="等线(中文正文)" w:hAnsi="等线(中文正文)" w:cs="等线(中文正文)" w:eastAsia="等线(中文正文)"/>
          <w:b w:val="false"/>
          <w:i w:val="false"/>
          <w:sz w:val="20"/>
        </w:rPr>
        <w:t>发言人1 答：乐观的原因主要有两点：一是宏观层面的边际改善，包括通胀降温与加息预期回落，美元走弱及美债长端利率下降等，为铜价提供宏观支撑；二是产业端多空双方在高位博弈加剧。需求端是当前价格上行的最大阻碍。随着价格上升，市场库存（包括MRE库存和国内库存）增加，而国内下游开工率因铜价上涨而快速下降。尽管市场对供应端扰动敏感度下降，但需求端的疲软表现仍值得关注。</w:t>
      </w:r>
    </w:p>
    <w:p>
      <w:r>
        <w:rPr>
          <w:rFonts w:ascii="等线(中文正文)" w:hAnsi="等线(中文正文)" w:cs="等线(中文正文)" w:eastAsia="等线(中文正文)"/>
          <w:b w:val="false"/>
          <w:i w:val="false"/>
          <w:sz w:val="20"/>
        </w:rPr>
        <w:t/>
      </w:r>
    </w:p>
    <w:p>
      <w:pPr>
        <w:pStyle w:val="ab"/>
      </w:pPr>
      <w:r>
        <w:t>发言人1 问：铝价当前的走势如何？主要影响因素有哪些？对于锌价未来走势的看法如何？</w:t>
      </w:r>
    </w:p>
    <w:p>
      <w:r>
        <w:rPr>
          <w:rFonts w:ascii="等线(中文正文)" w:hAnsi="等线(中文正文)" w:cs="等线(中文正文)" w:eastAsia="等线(中文正文)"/>
          <w:b w:val="false"/>
          <w:i w:val="false"/>
          <w:sz w:val="20"/>
        </w:rPr>
        <w:t>发言人1 答：铝价表现偏弱，国内社会库存跌破90万吨，MRE铝库存同步下降，库存情况相对较好。然而，需求端整体偏弱，尤其房地产数据承压及光伏产量下降影响铝材开工率和订单情况。海外市场需求相对较好，但海外价格上行对国内铝价形成一定抑制。此外，海外MRE铝的复产情况及国内库存变化也是影响铝价的关键因素。锌价未来将呈现高位震荡走势。供应端虽有一定程度的修复，但全球性供给紧张局面未改，尤其是印尼雨季对镍矿供应的影响。同时，电子行业调整周期和锡价上行对需求产生一定压制。因此，锌价不会出现大幅回落，预计维持在当前水平附近。</w:t>
      </w:r>
    </w:p>
    <w:p>
      <w:r>
        <w:rPr>
          <w:rFonts w:ascii="等线(中文正文)" w:hAnsi="等线(中文正文)" w:cs="等线(中文正文)" w:eastAsia="等线(中文正文)"/>
          <w:b w:val="false"/>
          <w:i w:val="false"/>
          <w:sz w:val="20"/>
        </w:rPr>
        <w:t/>
      </w:r>
    </w:p>
    <w:p>
      <w:pPr>
        <w:pStyle w:val="ab"/>
      </w:pPr>
      <w:r>
        <w:t>发言人1 问：镍价受到哪些因素影响？</w:t>
      </w:r>
    </w:p>
    <w:p>
      <w:r>
        <w:rPr>
          <w:rFonts w:ascii="等线(中文正文)" w:hAnsi="等线(中文正文)" w:cs="等线(中文正文)" w:eastAsia="等线(中文正文)"/>
          <w:b w:val="false"/>
          <w:i w:val="false"/>
          <w:sz w:val="20"/>
        </w:rPr>
        <w:t>发言人1 答：镍价的核心问题在于印尼RKAB镍矿配额制度，预期调控会导致镍价波动。目前成本因素有所松动，但若硫磺价格跌幅不大，镍铁价格将在12万左右获得支撑。市场将根据印尼配额预期和成本变化来判断镍价走势。</w:t>
      </w:r>
    </w:p>
    <w:p>
      <w:r>
        <w:rPr>
          <w:rFonts w:ascii="等线(中文正文)" w:hAnsi="等线(中文正文)" w:cs="等线(中文正文)" w:eastAsia="等线(中文正文)"/>
          <w:b w:val="false"/>
          <w:i w:val="false"/>
          <w:sz w:val="20"/>
        </w:rPr>
        <w:t/>
      </w:r>
    </w:p>
    <w:p>
      <w:pPr>
        <w:pStyle w:val="ab"/>
      </w:pPr>
      <w:r>
        <w:t>发言人1 问：碳酸锂、工业硅和多晶硅的行情如何？</w:t>
      </w:r>
    </w:p>
    <w:p>
      <w:r>
        <w:rPr>
          <w:rFonts w:ascii="等线(中文正文)" w:hAnsi="等线(中文正文)" w:cs="等线(中文正文)" w:eastAsia="等线(中文正文)"/>
          <w:b w:val="false"/>
          <w:i w:val="false"/>
          <w:sz w:val="20"/>
        </w:rPr>
        <w:t>发言人1 答：碳酸锂价格实现快速反弹，主要受到供应端炒作的影响，尤其是对江西矿和津巴布韦矿的炒作。四季度碳酸锂需求是否能保持高增长还需观察库存变化和供应预期。工业硅和多晶硅市场持续被政策炒作，但具体走势还需关注相关政策及供需情况。</w:t>
      </w:r>
    </w:p>
    <w:p>
      <w:r>
        <w:rPr>
          <w:rFonts w:ascii="等线(中文正文)" w:hAnsi="等线(中文正文)" w:cs="等线(中文正文)" w:eastAsia="等线(中文正文)"/>
          <w:b w:val="false"/>
          <w:i w:val="false"/>
          <w:sz w:val="20"/>
        </w:rPr>
        <w:t/>
      </w:r>
    </w:p>
    <w:p>
      <w:pPr>
        <w:pStyle w:val="ab"/>
      </w:pPr>
      <w:r>
        <w:t>发言人1 问：如果没有政策的影响，工业硅和多晶硅的价格会如何表现？</w:t>
      </w:r>
    </w:p>
    <w:p>
      <w:r>
        <w:rPr>
          <w:rFonts w:ascii="等线(中文正文)" w:hAnsi="等线(中文正文)" w:cs="等线(中文正文)" w:eastAsia="等线(中文正文)"/>
          <w:b w:val="false"/>
          <w:i w:val="false"/>
          <w:sz w:val="20"/>
        </w:rPr>
        <w:t>发言人1 答：如果没有政策预期的影响，市场价格将处于低位震荡，并可能快速回落到底部位置，主要等待反弹契机的到来。</w:t>
      </w:r>
    </w:p>
    <w:p>
      <w:r>
        <w:rPr>
          <w:rFonts w:ascii="等线(中文正文)" w:hAnsi="等线(中文正文)" w:cs="等线(中文正文)" w:eastAsia="等线(中文正文)"/>
          <w:b w:val="false"/>
          <w:i w:val="false"/>
          <w:sz w:val="20"/>
        </w:rPr>
        <w:t/>
      </w:r>
    </w:p>
    <w:p>
      <w:pPr>
        <w:pStyle w:val="ab"/>
      </w:pPr>
      <w:r>
        <w:t>发言人1 问：近期原油价格走势如何，以及影响市场的关键因素是什么？</w:t>
      </w:r>
    </w:p>
    <w:p>
      <w:r>
        <w:rPr>
          <w:rFonts w:ascii="等线(中文正文)" w:hAnsi="等线(中文正文)" w:cs="等线(中文正文)" w:eastAsia="等线(中文正文)"/>
          <w:b w:val="false"/>
          <w:i w:val="false"/>
          <w:sz w:val="20"/>
        </w:rPr>
        <w:t>发言人1 答：最近两周原油价格呈现强反弹走势，WTI和SC的价格重心上行。影响市场的主要逻辑依然聚焦在地缘政治上，特别是霍尔木兹海峡通航受阻导致供应缺口加大，市场据此上调了供应缺口的计价。</w:t>
      </w:r>
    </w:p>
    <w:p>
      <w:r>
        <w:rPr>
          <w:rFonts w:ascii="等线(中文正文)" w:hAnsi="等线(中文正文)" w:cs="等线(中文正文)" w:eastAsia="等线(中文正文)"/>
          <w:b w:val="false"/>
          <w:i w:val="false"/>
          <w:sz w:val="20"/>
        </w:rPr>
        <w:t/>
      </w:r>
    </w:p>
    <w:p>
      <w:pPr>
        <w:pStyle w:val="ab"/>
      </w:pPr>
      <w:r>
        <w:t>发言人1 问：当前原油市场的结构性矛盾体现在哪些方面？</w:t>
      </w:r>
    </w:p>
    <w:p>
      <w:r>
        <w:rPr>
          <w:rFonts w:ascii="等线(中文正文)" w:hAnsi="等线(中文正文)" w:cs="等线(中文正文)" w:eastAsia="等线(中文正文)"/>
          <w:b w:val="false"/>
          <w:i w:val="false"/>
          <w:sz w:val="20"/>
        </w:rPr>
        <w:t>发言人1 答：当前市场的结构性矛盾体现在进口数据上，尤其是7月份原油进口量环比增加22%，同比仍降24%。从进口来源国来看，中东部分产油国退出前五进口来源，表明中东原油供应卡脖子问题严峻。</w:t>
      </w:r>
    </w:p>
    <w:p>
      <w:r>
        <w:rPr>
          <w:rFonts w:ascii="等线(中文正文)" w:hAnsi="等线(中文正文)" w:cs="等线(中文正文)" w:eastAsia="等线(中文正文)"/>
          <w:b w:val="false"/>
          <w:i w:val="false"/>
          <w:sz w:val="20"/>
        </w:rPr>
        <w:t/>
      </w:r>
    </w:p>
    <w:p>
      <w:pPr>
        <w:pStyle w:val="ab"/>
      </w:pPr>
      <w:r>
        <w:t>发言人1 问：进入9月后，市场需要注意哪些关于原油进口的变化？</w:t>
      </w:r>
    </w:p>
    <w:p>
      <w:r>
        <w:rPr>
          <w:rFonts w:ascii="等线(中文正文)" w:hAnsi="等线(中文正文)" w:cs="等线(中文正文)" w:eastAsia="等线(中文正文)"/>
          <w:b w:val="false"/>
          <w:i w:val="false"/>
          <w:sz w:val="20"/>
        </w:rPr>
        <w:t>发言人1 答：需要注意的是，9月国内对俄罗斯海运原油进口强劲，同时也会增加南美的海运油进口。这可能导致中东一些国家的原油供应短缺，从而影响全球原油去库预期，增强油价弹性。</w:t>
      </w:r>
    </w:p>
    <w:p>
      <w:r>
        <w:rPr>
          <w:rFonts w:ascii="等线(中文正文)" w:hAnsi="等线(中文正文)" w:cs="等线(中文正文)" w:eastAsia="等线(中文正文)"/>
          <w:b w:val="false"/>
          <w:i w:val="false"/>
          <w:sz w:val="20"/>
        </w:rPr>
        <w:t/>
      </w:r>
    </w:p>
    <w:p>
      <w:pPr>
        <w:pStyle w:val="ab"/>
      </w:pPr>
      <w:r>
        <w:t>发言人1 问：在化工品种方面，沥青的表现及后续展望如何？PVC、甲醇等化工品种的供需情况如何？</w:t>
      </w:r>
    </w:p>
    <w:p>
      <w:r>
        <w:rPr>
          <w:rFonts w:ascii="等线(中文正文)" w:hAnsi="等线(中文正文)" w:cs="等线(中文正文)" w:eastAsia="等线(中文正文)"/>
          <w:b w:val="false"/>
          <w:i w:val="false"/>
          <w:sz w:val="20"/>
        </w:rPr>
        <w:t>发言人1 答：沥青这一周表现强势，受地链排产持平、原料紧张以及低库存等因素影响。随着旺季到来，南方地区天气好转，终端需求改善，供应问题将再度紧张，现货价格有望进一步上涨，基差和裂解度可能重回强势。PVC供应有所回生，但需求未见明显回暖；甲醇方面，海峡供应偏紧影响到货量，预计后期港口库存会再度转为去库。整体而言，这些化工品种中，PVC和甲醇的需求端表现较为一般，而聚烯烃的需求预期有所好转，维持近强远弱格局。</w:t>
      </w:r>
    </w:p>
    <w:p>
      <w:r>
        <w:rPr>
          <w:rFonts w:ascii="等线(中文正文)" w:hAnsi="等线(中文正文)" w:cs="等线(中文正文)" w:eastAsia="等线(中文正文)"/>
          <w:b w:val="false"/>
          <w:i w:val="false"/>
          <w:sz w:val="20"/>
        </w:rPr>
        <w:t/>
      </w:r>
    </w:p>
    <w:p>
      <w:pPr>
        <w:pStyle w:val="ab"/>
      </w:pPr>
      <w:r>
        <w:t>发言人1 问：乙醇市场的当前状况和预期是怎样的？</w:t>
      </w:r>
    </w:p>
    <w:p>
      <w:r>
        <w:rPr>
          <w:rFonts w:ascii="等线(中文正文)" w:hAnsi="等线(中文正文)" w:cs="等线(中文正文)" w:eastAsia="等线(中文正文)"/>
          <w:b w:val="false"/>
          <w:i w:val="false"/>
          <w:sz w:val="20"/>
        </w:rPr>
        <w:t>发言人1 答：乙醇市场近期表现出色，现货流动性收缩，开工负荷下降，港口库存持续降低。尽管下游需求偏弱，但基本面供需缺口较大，预计近月乙醇价格仍将维持偏强势表现。</w:t>
      </w:r>
    </w:p>
    <w:p>
      <w:r>
        <w:rPr>
          <w:rFonts w:ascii="等线(中文正文)" w:hAnsi="等线(中文正文)" w:cs="等线(中文正文)" w:eastAsia="等线(中文正文)"/>
          <w:b w:val="false"/>
          <w:i w:val="false"/>
          <w:sz w:val="20"/>
        </w:rPr>
        <w:t/>
      </w:r>
    </w:p>
    <w:p>
      <w:pPr>
        <w:pStyle w:val="ab"/>
      </w:pPr>
      <w:r>
        <w:t>发言人1 问：农产品板块受厄尔尼诺天气影响的情况如何？</w:t>
      </w:r>
    </w:p>
    <w:p>
      <w:r>
        <w:rPr>
          <w:rFonts w:ascii="等线(中文正文)" w:hAnsi="等线(中文正文)" w:cs="等线(中文正文)" w:eastAsia="等线(中文正文)"/>
          <w:b w:val="false"/>
          <w:i w:val="false"/>
          <w:sz w:val="20"/>
        </w:rPr>
        <w:t>发言人1 答：农产品板块中，油脂类如棕榈油和菜油领涨，主要受到厄尔尼诺天气可能导致的减产预期影响。此外，美豆、玉米和小麦单产下调也支撑了大豆市场的价格上行，油脂油料整体偏强运行。</w:t>
      </w:r>
    </w:p>
    <w:p>
      <w:r>
        <w:rPr>
          <w:rFonts w:ascii="等线(中文正文)" w:hAnsi="等线(中文正文)" w:cs="等线(中文正文)" w:eastAsia="等线(中文正文)"/>
          <w:b w:val="false"/>
          <w:i w:val="false"/>
          <w:sz w:val="20"/>
        </w:rPr>
        <w:t/>
      </w:r>
    </w:p>
    <w:p>
      <w:pPr>
        <w:pStyle w:val="ab"/>
      </w:pPr>
      <w:r>
        <w:t>发言人1 问：目前加拿大农业局对于2526年度油菜籽的出口和国内压榨预估有何调整？</w:t>
      </w:r>
    </w:p>
    <w:p>
      <w:r>
        <w:rPr>
          <w:rFonts w:ascii="等线(中文正文)" w:hAnsi="等线(中文正文)" w:cs="等线(中文正文)" w:eastAsia="等线(中文正文)"/>
          <w:b w:val="false"/>
          <w:i w:val="false"/>
          <w:sz w:val="20"/>
        </w:rPr>
        <w:t>发言人1 答：加拿大农业局上调了2526年度油菜籽出口和国内压榨预估，并且2526年度的油菜库存下调近100万吨，同时上调了2027年度油菜籽产量60万吨。整体上看，库存市场对油菜的影响在不断增大，但受天气和俄罗斯出口限制等因素影响，油菜籽及菜油价格会形成联动表现。</w:t>
      </w:r>
    </w:p>
    <w:p>
      <w:r>
        <w:rPr>
          <w:rFonts w:ascii="等线(中文正文)" w:hAnsi="等线(中文正文)" w:cs="等线(中文正文)" w:eastAsia="等线(中文正文)"/>
          <w:b w:val="false"/>
          <w:i w:val="false"/>
          <w:sz w:val="20"/>
        </w:rPr>
        <w:t/>
      </w:r>
    </w:p>
    <w:p>
      <w:pPr>
        <w:pStyle w:val="ab"/>
      </w:pPr>
      <w:r>
        <w:t>发言人1 问：国内豆粕价格走势如何，其上行的原因是什么？</w:t>
      </w:r>
    </w:p>
    <w:p>
      <w:r>
        <w:rPr>
          <w:rFonts w:ascii="等线(中文正文)" w:hAnsi="等线(中文正文)" w:cs="等线(中文正文)" w:eastAsia="等线(中文正文)"/>
          <w:b w:val="false"/>
          <w:i w:val="false"/>
          <w:sz w:val="20"/>
        </w:rPr>
        <w:t>发言人1 答：国内豆粕价格主要跟随外盘大豆价格出现跟随性上行，现货跟随期货上涨。8到9月份大豆到港量较高，油厂积极采购远期大豆，预计大豆供应偏强。尽管生猪和禽类饲料需求存在，但由于利润偏弱，整体上下游采购积极性不高，所以豆粕上行更多受到原料端的影响。</w:t>
      </w:r>
    </w:p>
    <w:p>
      <w:r>
        <w:rPr>
          <w:rFonts w:ascii="等线(中文正文)" w:hAnsi="等线(中文正文)" w:cs="等线(中文正文)" w:eastAsia="等线(中文正文)"/>
          <w:b w:val="false"/>
          <w:i w:val="false"/>
          <w:sz w:val="20"/>
        </w:rPr>
        <w:t/>
      </w:r>
    </w:p>
    <w:p>
      <w:pPr>
        <w:pStyle w:val="ab"/>
      </w:pPr>
      <w:r>
        <w:t>发言人1 问：未来天气尤其是厄尔尼诺天气对油脂类市场的影响如何？</w:t>
      </w:r>
    </w:p>
    <w:p>
      <w:r>
        <w:rPr>
          <w:rFonts w:ascii="等线(中文正文)" w:hAnsi="等线(中文正文)" w:cs="等线(中文正文)" w:eastAsia="等线(中文正文)"/>
          <w:b w:val="false"/>
          <w:i w:val="false"/>
          <w:sz w:val="20"/>
        </w:rPr>
        <w:t>发言人1 答：厄尔尼诺天气对油脂类板块的影响在27年度会更为显著，投资者可以持续关注因厄尔尼诺导致的中旅游市场中远期合约价格的上行机会。此外，原油强势及地缘政治问题，如卧霍尔木兹海峡问题，也对优质市场产生影响，因此油脂市场受到基本面和地缘政治双向因素的影响。</w:t>
      </w:r>
    </w:p>
    <w:p>
      <w:r>
        <w:rPr>
          <w:rFonts w:ascii="等线(中文正文)" w:hAnsi="等线(中文正文)" w:cs="等线(中文正文)" w:eastAsia="等线(中文正文)"/>
          <w:b w:val="false"/>
          <w:i w:val="false"/>
          <w:sz w:val="20"/>
        </w:rPr>
        <w:t/>
      </w:r>
    </w:p>
    <w:p>
      <w:pPr>
        <w:pStyle w:val="ab"/>
      </w:pPr>
      <w:r>
        <w:t>发言人1 问：当前生猪市场的行情怎样，未来有何预期？</w:t>
      </w:r>
    </w:p>
    <w:p>
      <w:r>
        <w:rPr>
          <w:rFonts w:ascii="等线(中文正文)" w:hAnsi="等线(中文正文)" w:cs="等线(中文正文)" w:eastAsia="等线(中文正文)"/>
          <w:b w:val="false"/>
          <w:i w:val="false"/>
          <w:sz w:val="20"/>
        </w:rPr>
        <w:t>发言人1 答：随着8月末下游消费转好，猪价已有所提振，目前现货猪价稳定在11.2元左右，需求端改善对价格形成支撑。随着供应阶段性收缩和需求稳定，价格有一定支撑力度。中秋节、国庆节以及年底旺季的到来将对生猪市场带来利好预期，而鸡蛋市场则呈现现货偏强、主力合约价格低位企稳态势，预计后市将处于区间波动行情。</w:t>
      </w:r>
    </w:p>
    <w:p>
      <w:r>
        <w:rPr>
          <w:rFonts w:ascii="等线(中文正文)" w:hAnsi="等线(中文正文)" w:cs="等线(中文正文)" w:eastAsia="等线(中文正文)"/>
          <w:b w:val="false"/>
          <w:i w:val="false"/>
          <w:sz w:val="20"/>
        </w:rPr>
        <w:t/>
      </w:r>
    </w:p>
    <w:p>
      <w:pPr>
        <w:pStyle w:val="ab"/>
      </w:pPr>
      <w:r>
        <w:t>发言人1 问：糖、棉花及建材类品种（玻璃、纯碱）的后市观点是什么？</w:t>
      </w:r>
    </w:p>
    <w:p>
      <w:r>
        <w:rPr>
          <w:rFonts w:ascii="等线(中文正文)" w:hAnsi="等线(中文正文)" w:cs="等线(中文正文)" w:eastAsia="等线(中文正文)"/>
          <w:b w:val="false"/>
          <w:i w:val="false"/>
          <w:sz w:val="20"/>
        </w:rPr>
        <w:t>发言人1 答：糖价近期受到天气、印度糖进口政策等多重因素影响，出现强劲反弹。虽然当前巴西糖处于生产高峰期，但市场普遍预期本榨季甘蔗产量丰收，供应过剩局面仍将持续。棉花价格坚挺，但面临价格高位、库存压力及天气影响等复杂情况，短期呈现上下两难局面。玻璃和纯碱方面，玻璃基本面略好但供应充裕，纯碱虽有反弹但库存高位，需求温和，两者均持阶段性反弹、基本面未改善且供应过剩的判断。</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2026-08-23T14:14:58Z</dcterms:created>
  <dc:creator>Apache POI</dc:creator>
</cp:coreProperties>
</file>